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ATAS/911/2017 vom 17. Oktober 2017</w:t>
      </w:r>
    </w:p>
    <w:p>
      <w:r>
        <w:t>GE Cour de justice, 2017-10-17, FR</w:t>
      </w:r>
    </w:p>
    <w:p>
      <w:r>
        <w:rPr>
          <w:b/>
        </w:rPr>
        <w:t xml:space="preserve">Quelle: </w:t>
      </w:r>
      <w:r>
        <w:t>https://mcp.opencaselaw.ch/entscheid/ge_gerichte_ATAS_911_2017</w:t>
      </w:r>
    </w:p>
    <w:p>
      <w:r>
        <w:t>FR: GE_GERICHTE ATAS/911/2017 du 17 octobre 2017</w:t>
      </w:r>
    </w:p>
    <w:p>
      <w:r>
        <w:t>IT: GE_GERICHTE ATAS/911/2017 del 17 ottobre 2017</w:t>
      </w:r>
    </w:p>
    <w:p>
      <w:pPr>
        <w:pStyle w:val="Heading2"/>
      </w:pPr>
      <w:r>
        <w:t>Erwägungen</w:t>
      </w:r>
    </w:p>
    <w:p>
      <w:r>
        <w:rPr>
          <w:b/>
        </w:rPr>
        <w:t>E. 1</w:t>
      </w:r>
    </w:p>
    <w:p>
      <w:r>
        <w:t>a. Conformément à l'art. 134 al. 1 let. a ch. 2 de la loi sur l'organisation judiciaire du 26 septembre 2010 (LOJ - E 2 05), la chambre des assurances sociales de la</w:t>
      </w:r>
    </w:p>
    <w:p>
      <w:r>
        <w:t>A/3667/2016 - 13/25 -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Interjeté le 27 octobre 2016 contre la décision litigieuse du 26 septembre 2016 (reçue à une date indéterminée, ladite décision ayant été envoyée par courrier simple), le recours a été formé en temps utile (art. 60 LPGA). Il satisfait aux exigences, peu élevées, de forme et de contenu prévues par l’art. 61 let. b LPGA (cf. aussi art. 89B LPA). Touchée par ladite décision et ayant un intérêt digne de protection à son annulation ou à sa modification, la recourante a qualité pour recourir (art. 59 LPGA). c.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 cf. consid. 6b). Il doit examiner de manière objective tous les moyens de preuve, quelle qu'en soit la provenance, puis décider si les documents à disposition permettent de porter un jugement valable sur le droit litigieux (Ghislaine FRÉSARD-FELLAY, op. cit., n. 78).</w:t>
      </w:r>
    </w:p>
    <w:p>
      <w:r>
        <w:t>A/3667/2016 - 14/25 -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la recourante a présenté une nouvelle demande de prestations de l’AI le 3 décembre 2013, en alléguant une aggravation de ses atteintes à la santé survenues depuis la précédente décision de l’intimé, du 2 mai 2012, lui ayant refusé toute prestation de l’AI. Le droit applicable est le droit actuellement en vigueur, résultant de la dernière révision de la LAI, dite 6a du 18 mars 2011, entrée en vigueur le 1er janvier 2012. Au demeurant, ladite révision 6a comme les révisions précédentes de la LAI – à savoir celles des 21 mars 2003 [4ème révision] et</w:t>
      </w:r>
    </w:p>
    <w:p>
      <w:r>
        <w:rPr>
          <w:b/>
        </w:rPr>
        <w:t>E. 6</w:t>
      </w:r>
    </w:p>
    <w:p>
      <w:r>
        <w:t>a. La question litigieuse en l’espèce est de savoir si, au 26 septembre 2016, les atteintes à la santé de la recourante sont constitutives d’invalidité au sens de la LAI. L’avis des médecins à ce propos joue un rôle essentiel, même s’il ne dispense pas l’administration (ou le juge) d’apprécier les avis médicaux. L'élément déterminant pour la valeur probante d'un rapport médical n'est ni son origine, ni sa désignation, mais son contenu. Il importe que les points litigieux importants aient fait l'objet d'une étude fouillée, que le rapport se fonde sur des examens complets, qu'il prenne également en considération les plaintes exprimées, qu'il ait été établi en pleine connaissance du dossier et de l’anamnèse, que la description des interférences médicales soit claire et enfin que les conclusions soient bien motivées et convaincantes (ATF 134 V 231 consid. 5.1; ATF 133 V 450 consid. 11.1.3; ATF 125 V 351 consid. 3). b. Sans remettre en cause le principe de la libre appréciation des preuves, la jurisprudence du Tribunal fédéral (et antérieurement du Tribunal fédéral des assurances) a posé des lignes directrices en ce qui concerne la manière d'apprécier certains types d'expertises ou de rapports médicaux.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w:t>
      </w:r>
    </w:p>
    <w:p>
      <w:r>
        <w:t>A/3667/2016 - 18/25 - selon la procédure de l'art. 44 LPGA ou une expertise judiciaire (ATF 135 V 465 consid. 4.6; arrêt du Tribunal fédéral 9C_301/2013 du 4 septembre 2013 consid. 3).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c/dd.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a. En l’espèce, l’intimé a fondé sa décision de refus de toute prestation de l’AI sur les conclusions d’un rapport d’expertise pluridisciplinaire de la CRR, soit d’experts indépendants mis en œuvre conformément à la procédure prévue par l’art. 44 LPGA (ATAS/662/2017 du 25 juillet 2017 consid. 3).</w:t>
      </w:r>
    </w:p>
    <w:p>
      <w:r>
        <w:t>A/3667/2016 - 19/25 - b. Il appert que, d’un point de vue formel, ledit rapport d’expertise satisfait aux exigences permettant de lui reconnaître sous cet angle force probante. Il a été établi à la suite d’une étude fouillée du dossier de la recourante ainsi que d’examens cliniques et/ou entretiens des experts avec cette dernière, par des médecins spécialisés dans les disciplines médicales en l’occurrence pertinentes (à savoir la médecine interne générale, la neurologie, la rhumatologie et la psychiatrie). Il relate une anamnèse détaillée ainsi que les plaintes de la recourante, indique les données objectives, comporte une appréciation du cas, procède d’un consilium et comporte les diagnostics et leur répercussions sur la capacité de travail de la recourante. Il répond aux questions posées et contient des conclusions claires. c. D’un point de vue matériel, le rapport d’expertise en question aborde les questions pertinentes et fournit des réponses claires et convaincantes. c/aa. Ainsi, sur le plan neurologique, l’expert O______ a relevé que, non sans avoir procédé à une étude consciencieuse des pièces médicales et rapports radiologiques existants, l’examen qu’il avait effectué démontrait une légère hypoesthésie tacto-algique pouvant correspondre au territoire L5 et S1 à gauche et un léger déficit pour l’extension dorsale du gros orteil pouvant correspondre à un déficit L5, mais que la marche sur les doigts de pied et les talons était tout à fait sécuritaire et bien effectuée. La description des symptômes des douleurs lombaires irradiant aux membres inférieurs pouvait éventuellement faire penser à une claudication neurogène, mais les documents d’imagerie ne démontraient aucun rétrécissement du canal lombaire ni de conflit radiculaire. Quoiqu’apparaissant authentique, la recourante avait fait montre de quelques incohérences (activation très variable du membre inférieur gauche, présence de céphalées d’une intensité maximale pendant l’examen mais peu de signes objectifs de souffrance). Il pouvait y avoir une limitation pour le port de charges et des positions contraignantes, dont les effets devaient cependant être appréciés par le consilium. Il n’y avait pas de signe d’hypertension cérébrale, ni d’autre signe pour des céphalées spécifiques. L’expert neurologue retenait ainsi des atteintes à la santé, à savoir un status après syndrome radiculaire L5-S1 gauche avec un léger déficit sensitivomoteur (M 54.1), un statut après syndrome radiculaire S1 droit sans déficit (M 54.1), un statuts après des épisodes d’hypertension intracrânienne compensée sous traitement diurétique (G 93.2) et des céphalées chroniques de probable origine tensionnelle (G 44.21), mais aucune d’elles n’avait de répercussion sur la capacité de travail de la recourante. c/bb. Sur le plan rhumatologique, après un examen clinique complet complétant les pièces du dossier (en particulier de nombreuses investigations faites en neurologie, rhumatologie et neurochirurgie, des IRM), l’experte Q______ a relevé que toute intervention chirurgicale avait, chaque fois, été récusée en raison de l’absence de clairs signes de conflits disco-radiculaires radiologiques et d’ENMG décrits comme normaux. L’approche clinique l’avait mise face à une assurée enjouée et collaborante mais ayant démontré rapidement un comportement douloureux avec de</w:t>
      </w:r>
    </w:p>
    <w:p>
      <w:r>
        <w:t>A/3667/2016 - 20/25 - nombreux, grimaces, soupirs et mouvements de retrait ainsi que des résistances lors de l’examen articulaire et du rachis. Tous les points de fibromyalgie étaient positifs et on retrouvait aussi la présence de signes de Waddel pour la lombalgie, mais il n’y avait pas de limitation des amplitudes des articulations périphériques ni de signes inflammatoires ; la gestuelle était très ample lorsqu’on n’observait pas la recourante, avec des discordances au cours de l’examen clinique. L’examen des documents d’imagerie n’apportait pas d’explication à la diffusion et l’intensité de l’état douloureux. Ce dernier ne s’exprimait pas par des lésions objectives cliniques et radiologiques ; l’expression du handicap contrastait fortement avec l’impression donnée. Les plaintes rachidiennes, qui étaient relativement diffuses et sans rythme défini avec une irradiation ne s’intégrant pas à une topographie radiculaire précise, étaient noyées au sein d’un état douloureux chronique diffus. La recourante remplissait les critères (tant anciens que nouveaux) de la fibromyalgie (M 79.70), mais ce diagnostic ne pouvait être retenu comme invalidant. Les diagnostics de protrusion discales étagées (M 51.2) et de troubles statiques des pieds (M 21.4) étaient aussi posés, mais aucun de ces trois diagnostics n’avait de répercussion sur la capacité de travail de la recourante. L’état douloureux chronique n’impliquait pas de limitation particulière dans quelque activité que ce soit. c/cc. Du point de vue psychiatrique, l’expert P______ a relevé que l’examen clinique l’avait mis face à une assurée ponctuelle, compliante non hostile, non procédurière, mais que l’entretien avait été parasité par la recherche de positions antalgiques. À ce propos, la chambre de céans ne peut que constater que la recourante paraît avoir tiré la leçon du fait que, lors de sa précédente expertise, l’expert D______ avait relaté, au titre des données objectives, qu’elle avait été « détendue malgré un discours multi-plaintif » et que « durant l’anamnèse (ayant duré) plus d’une heure trente, elle (n’avait pas ressenti) le besoin de changer de position, de modifier sa position et (n’avait manifesté) aucun inconfort », et qu’il en avait fait état dans son rapport d’expertise, ayant conclu lui aussi à l’absence de toute atteinte à la santé invalidante (pièce 31 OAI, p. 14). L’expert P______ a noté que la recourante n’avait pas de doléance psychiatrique particulière, qui ne s’estimait pas porteuse d’une maladie psychiatrique ni même dépressive. Le dernier traitement psychopharmacologique avait été interrompu dès juillet 2015. L’examen thymique était normal ; la modulation affective était présente notamment lorsque la recourante évoquait ses relations avec son entourage. La recourante ne présentait pas de manifestation hallucinatoire cénesthésique pouvant expliquer le vécu algique. Un éventuel syndrome douloureux somatoforme persistant (F 45.4) et ses éventuels facteurs de gravité n’étaient pas retenus. La plainte ne concernait pas une douleur intense persistante accompagnée d’un sentiment de détresse. L’entente conjugale était qualifiée de bonne, et les relations sociales et intra-familiales étaient particulièrement appréciées. L’état psychique de la recourante était loin d’être cristallisé au point de ne plus pouvoir rien faire. Elle appréciait particulièrement les</w:t>
      </w:r>
    </w:p>
    <w:p>
      <w:r>
        <w:t>A/3667/2016 - 21/25 - nombreuses promenades au sein du centre commercial de son quartier. Sa capacité hédonique était performante ; la recourante appréciait les beaux objets. Elle débordait de ressources. Elle était capable de s’intégrer dans des processus d’organisation. La planification et la structuration des tâches quotidiennes demeuraient efficaces malgré l’état algique. Elle avait une bonne flexibilité de ses capacités d’adaptation. Elle avait le sens du contact envers les tiers et la capacité d’évoluer au sein d’un groupe. Elle avait des activités spontanées, et son hygiène et ses soins corporels ne faisaient pas défaut. Elle possédait de bonnes capacités cognitives. Elle ne présentait pas de trouble psychotique. L’expert P______ ne posait aucun diagnostic ayant une répercussion sur la capacité de travail. c/dd. Le rapport de l’expert principal N______, résumé sous le ch. 20 de la partie En fait du présent arrêt, est non seulement fidèle aux appréciations et conclusions des trois autres experts, mais aussi procède d’une concertation entre les quatre experts. d/aa. Dans la mesure où le diagnostic de fibromyalgie a été retenu, il faut rappeler qu’une atteinte à la santé n’est prise en considération en matière d’invalidité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(appelées aussi « troubles somatoformes douloureux ») et d’autres affections psychosomatiques assimilées, dont précisément la fibromyalgie (ATF 132 V 65 consid. 3 et 4.1). d/bb. Revenant sur un arrêt de principe du 12 mars 2004 (ATF 130 V 352) – posant la présomption que les affections psychosomatiques pouvaient être surmontées par un effort de volonté raisonnablement exigible, si bien que les personnes concernées n'avaient en règle générale aucun droit à une rente de l'assurance-invalidité –, le Tribunal fédéral a, par un nouvel arrêt de principe rendu le 3 juin 2015 (ATF 141 V 281), abandonné cette présomption et jugé qu’en cas de troubles somatoformes douloureux et affections psychosomatiques assimilées,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 Jacques-André SCHNEIDER, L’invalidité, les douleurs dites « non objectivables » et le Tribunal</w:t>
      </w:r>
    </w:p>
    <w:p>
      <w:r>
        <w:t>A/3667/2016 - 22/25 - fédéral : la rupture, in Regards de marathoniens sur le droit suisse, 2015, p. 409 ss ; Bettina KAHIL-WOLFF, Revirement au sujet d’atteints non objectivables : l’ATF 141 V 281 (troubles somatoformes douloureux) et l’ATF 141 V 574 (« coup du lapin »), in Journées du droit de la circulation routière, éd. par Franz WERRO / Thomas PROBST, 2016, p. 135 ss).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d/cc. Il ressort du rapport d’expertise de la CRR que l’appréciation du caractère invalidant ou non de la fibromyalgie de la recourante a été faite conformément à la grille d’évaluation qu’a établie le Tribunal fédéral. Les experts ont procédé à une approche globale de cette atteinte et des pathologies concomitantes de la recourante. Ils ont tenu compte de la personnalité et des ressources de cette dernière. Ils ont dû relever une importante discordance entre les douleurs annoncées et les constatations cliniques et radiologiaques, de même que des incohérences et sensibles exagérations.</w:t>
      </w:r>
    </w:p>
    <w:p>
      <w:r>
        <w:t>A/3667/2016 - 23/25 -</w:t>
      </w:r>
    </w:p>
    <w:p>
      <w:r>
        <w:rPr>
          <w:b/>
        </w:rPr>
        <w:t>E. 8</w:t>
      </w:r>
    </w:p>
    <w:p>
      <w:r>
        <w:t>a. Si elle qualifie la position de l’intimé, alignée sur celle des experts, de stupéfiante, curieuse et sommaire, et a produit en cours de procédure divers rapports médiaux, force est de constater que la recourante n’a pas avancé pour autant d’éléments médicaux qui auraient déjà existé lors de la prise de la décision attaquée, qui seraient objectivement vérifiables, de nature clinique ou diagnostique, et qui auraient été ignorés dans le cadre de l’expertise de la CRR tout en étant suffisamment pertinents pour remettre en cause le bien-fondé des conclusions des experts ou établir le caractère incomplet de leur expertise (arrêt du Tribunal fédéral 9C_573/2009 du 19 décembre 2009 consid. 2.3). Le dossier ne comporte par ailleurs guère de rapports médicaux allant franchement à l’encontre de la position des experts. b. Déjà avant la prise de la décision attaquée, dans un avis médical du 6 juin 2016, le SMR, se concentrant sur la question d’une prétendue aggravation de l’état de santé de la recourante depuis la précédente décision, avait relevé que la cardiologue G______ ne retenait pas de diagnostics invalidants, le neurochirugien T______ n’avait pas revu la recourante depuis septembre 2011 et que la rhumatologue H______, rapportant des lombosciatalgies gauches chroniques récidivantes et des gonalgies bilatérales, se prononçait en faveur d’une capacité de travail pleine dans une activité adaptée. En tant qu’ils divergeraient des conclusions des experts, ces avis n’ont pas une force probante suffisante pour remettre ces dernières en question. Quant à elle, la prise de position du SMR du 24 février 2017 résume et explique de façon convaincante que les rapports médicaux produits en cours de procédure ne remettent pas de façon pertinente en question les conclusions des experts, dans la mesure où ils n’apportaient pas d’éléments nouveaux. C’était en particulier le cas de l’IRM de la colonne lombaire du 15 décembre 2016 par rapport aux IRM précédentes, ainsi que des plaintes d’insomnie, d’asthénie et du sentiment de découragement de la recourante. Le diagnostic de douleurs abdominales sur constipation et colon irritable figurant dans le rapport de la Dre V______ du 9 décembre 2016 ne peut se voir reconnaître un caractère invalidant. La consultation de la Dre F______ du 1er décembre 2016 n’avait apporté aucun élément nouveau. L’IRM cérébrale du 27 juin 2016 avait été dans la norme, comme les précédentes, et le kyste sous-arachnoïdien découvert fortuitement en regard du lobe temporal gauche, bénin et asymptomatique est sans influence sur la capacité de travail de la recourante. c. Les deux diagnostics nouveaux émis par la Dre Y______ le 5 janvier 2017 – à savoir un asthme bronchique et une allergie au paracétamol et aux AINS) – n’ont pas à être pris en considération en l’espèce, dès lors qu’ils sont postérieurs à la décision attaquée (ATF 131 V 242 consid. 2.1 , 121 V 362 consid. 1b). Au demeurant, selon les explications convaincantes du SMR à ce propos, ils n’ont pas un caractère invalidant. L’asthme en question répondait bien au traitement et restait modéré, à teneur des lettres de sorties des HUG produites, et il y avait des alternatives aux traitements antalgiques auxquels la recourante serait allergique.</w:t>
      </w:r>
    </w:p>
    <w:p>
      <w:r>
        <w:t>A/3667/2016 - 24/25 -</w:t>
      </w:r>
    </w:p>
    <w:p>
      <w:r>
        <w:rPr>
          <w:b/>
        </w:rPr>
        <w:t>E. 9</w:t>
      </w:r>
    </w:p>
    <w:p>
      <w:r>
        <w:t>a. En conclusion, la chambre de céans ne voit pas de raison de s’écarter de l’appréciation et des conclusions des experts de la CRR, dont le rapport d’expertise doit se voir reconnaître une pleine force probante. b. Les éléments figurant au dossier commandent de l’admettre. Il n’y a pas lieu d’administrer d’autres preuves, qu’il s’agisse de la comparution personnelle des parties (en particulier de la recourante), de l’audition de son médecin traitant ou d’autres médecins, ni d’ordonner une expertise complémentaire. De telles preuves ne sont pas propres à modifier l’appréciation que les conclusions des experts sont bien fondée (cf. ATF 122 II 464 consid. 4a et ATF 122 III 219 consid. 3c sur l’appréciation anticipée de preuves requises). c. Aussi la chambre de céans retient-elle que les atteintes à la santé dont se plaint la recourante, en particulier celles qui ont été diagnostiquées, n’ont pas de répercussion sur sa capacité de travail. À défaut d’invalidité, ou même d’invalidité menaçante, il n’y a pas de droit à des prestations de l’AI, qu’il s’agisse d’une rente d’invalidité ou de mesures de réadaptation. Le recours est donc mal fondé. Il doit être rejeté.</w:t>
      </w:r>
    </w:p>
    <w:p>
      <w:r>
        <w:rPr>
          <w:b/>
        </w:rPr>
        <w:t>E. 10</w:t>
      </w:r>
    </w:p>
    <w:p>
      <w:r>
        <w:t>La procédure de recours en matière de contestations portant sur l’octroi ou le refus de prestations de l’assurance-invalidité étant soumise à des frais de justice (art. 69 al. 1bis LAI; art. 89H al. 4 LPA), il y a lieu de condamner la recourante au paiement d'un émolument, arrêté au minimum de CHF 200.-. Vu l’issue donnée au recours, il n’y a pas matière à octroyer une indemnité de procédure (art. 61 let. g LPGA). * * * * * *</w:t>
      </w:r>
    </w:p>
    <w:p>
      <w:r>
        <w:t>A/3667/2016 - 25/25 -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