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ATAS/910/2019 vom 10. Oktober 2018</w:t>
      </w:r>
    </w:p>
    <w:p>
      <w:r>
        <w:t>GE Cour de justice, 2018-10-10, FR</w:t>
      </w:r>
    </w:p>
    <w:p>
      <w:r>
        <w:rPr>
          <w:b/>
        </w:rPr>
        <w:t xml:space="preserve">Quelle: </w:t>
      </w:r>
      <w:r>
        <w:t>https://mcp.opencaselaw.ch/entscheid/ge_gerichte_ATAS_910_2019</w:t>
      </w:r>
    </w:p>
    <w:p>
      <w:r>
        <w:t>FR: GE_GERICHTE ATAS/910/2019 du 10 octobre 2018</w:t>
      </w:r>
    </w:p>
    <w:p>
      <w:r>
        <w:t>IT: GE_GERICHTE ATAS/910/2019 del 10 ottobre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L'art. 2B LAF prévoit que les prestations sont régies par la LAFam et ses dispositions d'exécution (let. a),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la forme et le délai prescrits par la loi, le recours formé par la recourante est recevable (art. 56ss LPGA; 38A LAF).</w:t>
      </w:r>
    </w:p>
    <w:p>
      <w:r>
        <w:rPr>
          <w:b/>
        </w:rPr>
        <w:t>E. 4</w:t>
      </w:r>
    </w:p>
    <w:p>
      <w:r>
        <w:t>Le litige porte sur le droit de la recourante aux allocations de formation professionnelle en lien avec son fils pour la période du 1er mai 2016 au 31 juillet 2017.</w:t>
      </w:r>
    </w:p>
    <w:p>
      <w:r>
        <w:rPr>
          <w:b/>
        </w:rPr>
        <w:t>E. 5</w:t>
      </w:r>
    </w:p>
    <w:p>
      <w:r>
        <w:t>Selon l'art. 13 al. 2bis LAFam, ont droit aux allocations familiales les personnes exerçant une activité lucrative indépendante qui sont obligatoirement assurées à l'AVS à ce titre ont droit aux allocations familiales. Les prestations sont réglées par le régime d'allocations familiales du canton visé à l'art. 12, al. 2. Le Conseil fédéral règle les modalités de naissance et d'expiration du droit aux allocations. Sont soumis à la LAF les personnes, domiciliées dans le canton, qui exercent une activité indépendante (art. 2 let. d LAF). Les allocations familiales sont des prestations en espèces, uniques ou périodiques, destinées à compenser partiellement la charge financière représentée par un ou plusieurs enfants (art. 2 LAFam et 4 al. 1 LAF).</w:t>
      </w:r>
    </w:p>
    <w:p>
      <w:r>
        <w:rPr>
          <w:b/>
        </w:rPr>
        <w:t>E. 6</w:t>
      </w:r>
    </w:p>
    <w:p>
      <w:r>
        <w:t>L’allocation familiale comprend notamment l’allocation de formation professionnelle, octroyée à partir du mois qui suit celui au cours duquel l’enfant</w:t>
      </w:r>
    </w:p>
    <w:p>
      <w:r>
        <w:t>A/4755/2017 - 6/10 - atteint l’âge de 16 ans jusqu’à la fin de sa formation, mais au plus tard jusqu’à la fin du mois au cours duquel il atteint l’âge de 25 ans (cf. art. 3 al. 1 let. b LAFam et 7A LAF). Elle s’élève à CHF 250.- par mois au minimum, les cantons pouvant prévoir des taux minimaux plus élevés (cf. art. 5 et 3 al. 2 LAFam). L’art. 1 al. 1 de l’ordonnance du 31 octobre 2007 sur les allocations familiales, (OAFam - RS 836.21) précise qu’un droit à l’allocation de formation professionnelle existe pour les enfants accomplissant une formation au sens de l’art. 25 al. 5 LAVS. Selon cette dernière disposition, pour les enfants qui accomplissent une formation, le droit à la rente (d'orphelin) s'étend jusqu'au terme de cette formation, mais au plus jusqu'à l'âge de 25 ans révolus; le Conseil fédéral peut définir ce que l'on entend par formation. Aux termes de l'art. 49bis du règlement sur l'assurance-vieillesse et survivants du 31 octobre 1947 (RAVS -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 D’après les Directives concernant les rentes (DR) de l’assurance-vieillesse, survivants et invalidité fédérale, publiées par l’Office fédéral des assurances sociales (ci-après les Directives), dans leur teneur dès janvier 2017,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w:t>
      </w:r>
    </w:p>
    <w:p>
      <w:r>
        <w:t>A/4755/2017 - 7/10 -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Le temps effectif dévolu à la formation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(ch. 3360). Un stage pratique est assimilé à une formation si son accomplissement est une condition indispensable pour poursuivre une formation donnée ou passer un examen, ou obtenir un diplôme ou un certificat de fin d’apprentissage (ch.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(cf. cependant ch. suivant), il ne saurait être question d’une formation (ex: stage chez un producteur de cinéma selon arrêt du Tribunal fédéral 9C_223/2008 du 1er avril 2008; ch.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45 à 60 minutes) par semaine (ch. 3363). Selon le SECO constituent des mesures du marché du travail des cours : des stages pour acquérir une première expérience professionnelle, une occupation temporaire sur le marché secondaire du travail ou dans des cas particuliers, une participation au salaire durant les premiers mois de travail, etc. (Bulletin LACI MMT). Si la formation professionnelle est interrompue, elle est – sous réserve des interruptions au sens des chiffres suivants – en principe considérée comme ayant</w:t>
      </w:r>
    </w:p>
    <w:p>
      <w:r>
        <w:t>A/4755/2017 - 8/10 - pris fin. Tel est également le cas lorsque seul un objectif intermédiaire a jusqu’alors été atteint, tel l’obtention d’une maturité par exemple (ch. 3369). Des vacances ou autres périodes sans cours usuelles d’une durée supérieure à quatre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a. La période sans cours suivant la maturité gymnasiale n’est considérée comme formation que si l’intéressé reprend ses études au plus tard quatre mois après l’obtention de sa maturité. À défaut, on considère le cap de la maturité comme une fin (provisoire) de la formation. b. Dans le cas d’une maturité professionnelle, l’interruption maximale pouvant être assimilée à la formation est également de quatre mois, à condition que les études soient reprises immédiatement après. c. Font également partie des vacances usuelles les vacances de semestre universitaires, mais pas des semestres au cours desquels les étudiants sont en congé (ch. 3370). d. Les enfants qui interrompent leur formation pour cause de maladie ou d’accident sont considérés comme étant en formation si l’interruption ne dépasse pas 12 mois (ch. 3373).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w:t>
      </w:r>
    </w:p>
    <w:p>
      <w:r>
        <w:rPr>
          <w:b/>
        </w:rPr>
        <w:t>E. 8</w:t>
      </w:r>
    </w:p>
    <w:p>
      <w:r>
        <w:t>En l’espèce, entre mai 2016 et le 7 août 2017, le fils de l'intéressée est resté chez lui et a étudié de façon autonome, cherchant en premier lieu à retrouver le goût d'apprendre, à teneur de ses déclarations et de celles de sa mère. Il n'a ainsi pas suivi une formation régulière reconnue à laquelle il a consacré la majeure partie de son temps, ni préparé systématiquement un diplôme professionnel ou obtenu une formation générale servant de base à différentes professions au sens de l'art. 49bis al. 1 RAVS.</w:t>
      </w:r>
    </w:p>
    <w:p>
      <w:r>
        <w:t>A/4755/2017 - 9/10 - Sa situation ne correspondait pas non plus à une solution transitoire d'occupation, comme un semestre de motivation, un préapprentissage, un séjour au pair ou linguistique, au sens de l'art. 49bis al. 2 RAVS, ce d'autant plus qu'il n'a pas suivi de cours, si ce n'est sur internet. L'interruption de formation du fils de l'intéressée a duré beaucoup plus quatre mois (de mai 2016 à août 2017), de sorte que l'on ne peut retenir que sa formation n'a pas été interrompue au sens de l'art. 49bis al. 3 let. a RAVS. Il a étudié au gré de ses envies, sans suivre un plan de formation structuré. Il n'a pas été rendu vraisemblable qu'il a consacré l’essentiel de son temps à sa formation, ni même 20 heures au moins par semaine, étant relevé qu'une partie de ses activités de formation peuvent se confondre avec des activités de loisirs, comme celles consistant à visionner des films et à lire et que le but essentiel de cette période était de retrouver le goût d'apprendre. Le stage effectué en librairie ne peut être assimilé à une formation, car il n'était pas une condition indispensable pour poursuivre une formation donnée, passer un examen ou obtenir un diplôme ou un certificat de fin d’apprentissage. Les critères ressortant des Directives pour définir la notion de formation ne sont ainsi pas réalisés. Enfin, faute d'avoir consulté un médecin, ni produit de certificat médical pour la période en cause, il n'y a pas lieu de retenir que le fils de l'intéressée a interrompu sa formation pour des raisons médicales, ce qui aurait pu justifier de retenir que sa formation n'a pas été interrompue, selon le ch. 3373 des Directives. C'est ainsi à juste titre que l'intimé a refusé d'octroyer les allocations de formation à l'intéressée pour la période de mai 2016 au 7 août 2017.</w:t>
      </w:r>
    </w:p>
    <w:p>
      <w:r>
        <w:rPr>
          <w:b/>
        </w:rPr>
        <w:t>E. 9</w:t>
      </w:r>
    </w:p>
    <w:p>
      <w:r>
        <w:t>Le recours doit donc être rejeté.</w:t>
      </w:r>
    </w:p>
    <w:p>
      <w:r>
        <w:rPr>
          <w:b/>
        </w:rPr>
        <w:t>E. 10</w:t>
      </w:r>
    </w:p>
    <w:p>
      <w:r>
        <w:t>La procédure est gratuite (art. 61 let. a LPGA ; art. 89H al. 1 LPA).</w:t>
      </w:r>
    </w:p>
    <w:p>
      <w:r>
        <w:t>A/4755/2017 - 10/10 -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