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ATAS/910/2015 vom 24. November 2015</w:t>
      </w:r>
    </w:p>
    <w:p>
      <w:r>
        <w:t>GE Cour de justice, 2015-11-24, FR</w:t>
      </w:r>
    </w:p>
    <w:p>
      <w:r>
        <w:rPr>
          <w:b/>
        </w:rPr>
        <w:t xml:space="preserve">Quelle: </w:t>
      </w:r>
      <w:r>
        <w:t>https://mcp.opencaselaw.ch/entscheid/ge_gerichte_ATAS_910_2015</w:t>
      </w:r>
    </w:p>
    <w:p>
      <w:r>
        <w:t>FR: GE_GERICHTE ATAS/910/2015 du 24 novembre 2015</w:t>
      </w:r>
    </w:p>
    <w:p>
      <w:r>
        <w:t>IT: GE_GERICHTE ATAS/910/2015 del 24 novembre 2015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Reste à déterminer le degré d’invalidité.</w:t>
      </w:r>
    </w:p>
    <w:p>
      <w:r>
        <w:t>A/353/2014 - 28/29 - L’incapacité de travail est de 50% dans une activité adaptée et la part professionnelle de 80% ; l’assurée présente une incapacité de travail de 40% - et non de 38% comme l’a retenu l’OAI -, ce qui donne le calcul suivant : 32 heures x 40% + ([40 heures – 32 heures] x 40%) = 40% 40 heures 32 heures = travail fourni par l’assuré en tant que personne non invalide exerçant une activité lucrative, en heures par semaine 40% = handicap rencontré par la personne exerçant une activité lucrative, en % 40 heures = durée de travail normale des personnes exerçant une activité lucrative à plein temps dans la branche d’activité concernée, en heures par semaine 40% = handicap rencontré dans le ménage, en % (cf. circulaire sur l’invalidité et l’impotence dans l’assurance-invalidité - CIIAI, valable à partir du 1er janvier 2013, n° 3101) Les taux retenus donnent en conséquence un degré d’invalidité de 40%, lequel ouvre le droit à un quart de rente d’invalidité à compter du 1er mai 2009, soit six mois après que la demande de prestations AI ait été déposée (art. 29 LAI).</w:t>
      </w:r>
    </w:p>
    <w:p>
      <w:r>
        <w:rPr>
          <w:b/>
        </w:rPr>
        <w:t>E. 14</w:t>
      </w:r>
    </w:p>
    <w:p>
      <w:r>
        <w:t>Aussi le recours est-il partiellement admis.</w:t>
      </w:r>
    </w:p>
    <w:p>
      <w:r>
        <w:t>A/353/2014 - 29/29 -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