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ATAS/910/2012 vom 11. Juli 2012</w:t>
      </w:r>
    </w:p>
    <w:p>
      <w:r>
        <w:t>GE Cour de justice, 2012-07-11, FR</w:t>
      </w:r>
    </w:p>
    <w:p>
      <w:r>
        <w:rPr>
          <w:b/>
        </w:rPr>
        <w:t xml:space="preserve">Quelle: </w:t>
      </w:r>
      <w:r>
        <w:t>https://mcp.opencaselaw.ch/entscheid/ge_gerichte_ATAS_910_2012</w:t>
      </w:r>
    </w:p>
    <w:p>
      <w:r>
        <w:t>FR: GE_GERICHTE ATAS/910/2012 du 11 juillet 2012</w:t>
      </w:r>
    </w:p>
    <w:p>
      <w:r>
        <w:t>IT: GE_GERICHTE ATAS/910/2012 del 11 luglio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A/597/2012 - 7/13 -</w:t>
      </w:r>
    </w:p>
    <w:p>
      <w:r>
        <w:rPr>
          <w:b/>
        </w:rPr>
        <w:t>E. 2</w:t>
      </w:r>
    </w:p>
    <w:p>
      <w:r>
        <w:t>A teneur de l'art. 1 al. 1 LAI, les dispositions de la LPGA s'appliquent à l'assurance- invalidité, à moins que la loi n'y déroge expressément. Cela étant,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Interjeté dans la forme et le délai prévus par la loi, le recours est recevable (art. 56 et 60 LPGA).</w:t>
      </w:r>
    </w:p>
    <w:p>
      <w:r>
        <w:rPr>
          <w:b/>
        </w:rPr>
        <w:t>E. 4</w:t>
      </w:r>
    </w:p>
    <w:p>
      <w:r>
        <w:t>L’objet du litige porte sur le droit de la recourante à des prestations de l’assurance- invalidité, singulièrement sur le degré d’invalidité.</w:t>
      </w:r>
    </w:p>
    <w:p>
      <w:r>
        <w:rPr>
          <w:b/>
        </w:rPr>
        <w:t>E. 5</w:t>
      </w:r>
    </w:p>
    <w:p>
      <w:r>
        <w:t>La Cour de céans relève à titre liminaire que l’intimé, au vu des éléments communiqués par la recourante, est entré en matière sur sa nouvelle demande et a mis en œuvre une expertise rhumato-psychiatrique, ainsi qu’une enquête ménagère.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A/597/2012 - 8/13 -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assurés majeurs qui n’exerçaient pas d’activité lucrative avant d’être atteints dans leur santé physique, mentale ou psychique et dont il ne peut être exigé qu’ils en exercent une sont réputés invalides si l’atteinte les empêche d’accomplir leurs travaux habituels (art 8 al. 3 LPGA). L’art. 7 al. 2 est applicable par analogie.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évaluer l’invalidité des assurés travaillant dans le ménage, l’administration procède à une enquête sur les activités ménagères et fixe l’empêchement dans chacune des activités habituelles. Le Tribunal fédéral des assurances a déjà eu l’occasion d’admettre la conformité aux art. 5 al. 1 LAI et 27 al. 1 et 2 RAI de cette pratique administrative (ATFA non publiés du 9 avril 2001, I 654/00, du 22 août 2000, I 102/00 et du 15 novembre 1999, I 331/99). Une telle enquête a valeur probante et ce n’est qu’à titre exceptionnel, singulièrement lorsque les déclarations de l’assuré ne concordent pas avec les constatations faites sur le plan médical, qu’il faille faire procéder par un médecin à une estimation des empêchements que l’intéressé rencontre dans ses activités habituelles (VSI 2001 p. 158 consid. 3c).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(ATFA non publié du 22 décembre 2003, I 311/03).</w:t>
      </w:r>
    </w:p>
    <w:p>
      <w:r>
        <w:t>A/597/2012 - 9/13 - d) Tant lors de l'examen initial du droit à la rente qu'à l'occasion d'une révision de celle-ci (art. 17 LPGA), il convient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A/597/2012 - 10/13 -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En l’espèce, l’intimé a retenu un statut de personne non active, ce que la recourante ne conteste pas. En effet, elle n’a jamais travaillé hors de son foyer, s’est toujours consacrée à son ménage, à l’éducation de ses neuf enfants et n’a jamais cherché un emploi depuis son arrivée en Suisse. Sur le plan médical, les experts ont examiné la recourante en date du 24 février 2011 et fait procéder à des examens radiologiques complémentaires. Le rapport d’expertise comporte une anamnèse familiale, personnelle et sociale détaillée, réalisée avec le concours d’une interprète. Au status clinique, l’examen de l’appareil locomoteur n’a objectivé aucune contracture musculaire, l’examen neurologique ne montrait pas de diminution de la force aux quatre membres, la recherche de signe d’arthrite et d’arthrose s’est révélée négative. En revanche, la recherche de points douloureux pour une fibromyalgie a mis en évidence la présence des 18 points sur 18. L’expert a retenu, sur le plan somatique, des lombalgies chroniques sur une discarthrose sévère L5-S1, des cervicalgies chroniques sur une uncarthrose étagée de C4 à C7, un status après révision chirurgicale d’une plaie du coude droit et neurolyse extensive du nerf cubital et des paresthésies résiduelles. Ces pathologies et les limitations fonctionnelles qu’elles engendrent entraînent une incapacité de travail de 30 % dans l’activité de ménagère ; dans une activité adaptée, la capacité de travail est entière. Du point de</w:t>
      </w:r>
    </w:p>
    <w:p>
      <w:r>
        <w:t>A/597/2012 - 11/13 - vue psychiatrique, l’expert psychiatre n’a retenu qu’une dysthymie, sans répercussion sur la capacité de travail. L’expert relève que pendant plusieurs années, malgré les recommandations des somaticiens, la recourante a refusé toute prise en charge psychiatrique. La prescription d’antidépresseurs en 2006 n’a pas entraîné d’amélioration, mais aucun taux sérique n’a été effectué. Par la suite, la recourante a été uniquement sous traitement d’amitriptyline dans le but d’élever le seuil de la douleur. La recourante ne présente pas de détresse majeure ou de conflit psychique conséquent. En revanche, lorsque les douleurs sont relatées, la recourante présente un comportement démonstratif correspondant à une majoration de symptômes physiques pour des raisons psychologiques. Du point de vue psychiatrique, la capacité de travail est entière dans une activité simple. La Cour de céans constate que le rapport d’expertise est complet et circonstancié, que les médecins ont pris en compte les plaintes de la recourante, que leurs conclusions sont claires et bien motivées, de sorte qu’il revêt pleine valeur probante. Quant aux rapports des Drs U_______, S_________ et de la Dresse T________ faisant état d’une aggravation de l’état de santé, ils ne sont pas susceptibles de remettre en cause les conclusions des experts. En effet, outre le fait que les rapports des médecins traitants doivent être appréciés avec retenue, ils ne font pas état d’éléments qui n’auraient pas été portés à la connaissance des experts et dont ils n’auraient pas tenu compte. La Cour de céans se rallie en conséquence aux conclusions de l’expertise du BREM.</w:t>
      </w:r>
    </w:p>
    <w:p>
      <w:r>
        <w:rPr>
          <w:b/>
        </w:rPr>
        <w:t>E. 9</w:t>
      </w:r>
    </w:p>
    <w:p>
      <w:r>
        <w:t>Cela étant, au vu du statut de ménagère, l’évaluation de l’invalidité doit se faire sur la base de l’enquête économique effectuée par l’intimée au domicile de la recourante. En l’espèce, l’enquêtrice a retenu des empêchements de 22,5 % en tenant compte de l’aide apportée par les membres de la famille. La Cour de céans rappelle à cet égard que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w:t>
      </w:r>
    </w:p>
    <w:p>
      <w:r>
        <w:t>A/597/2012 - 12/13 - (RCC 1984 p. 143 consid. 5). Dans le cadre de l'évaluation de l'invalidité dans les travaux habituels, l'aide des membres de la famille (en particulier celle des enfants) va au-delà de ce qu'on peut attendre de celles-ci, si la personne assurée n'est pas atteinte dans sa santé (arrêt non publié C. du 8 novembre 1993, I 407/92; arrêt S. du</w:t>
      </w:r>
    </w:p>
    <w:p>
      <w:r>
        <w:rPr>
          <w:b/>
        </w:rPr>
        <w:t>E. 11</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w:t>
      </w:r>
    </w:p>
    <w:p>
      <w:r>
        <w:t>A/597/2012 - 13/13 -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