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ATAS/90/2016 vom 2. Februar 2016</w:t>
      </w:r>
    </w:p>
    <w:p>
      <w:r>
        <w:t>GE Cour de justice, 2016-02-02, FR</w:t>
      </w:r>
    </w:p>
    <w:p>
      <w:r>
        <w:rPr>
          <w:b/>
        </w:rPr>
        <w:t xml:space="preserve">Quelle: </w:t>
      </w:r>
      <w:r>
        <w:t>https://mcp.opencaselaw.ch/entscheid/ge_gerichte_ATAS_90_2016</w:t>
      </w:r>
    </w:p>
    <w:p>
      <w:r>
        <w:t>FR: GE_GERICHTE ATAS/90/2016 du 2 février 2016</w:t>
      </w:r>
    </w:p>
    <w:p>
      <w:r>
        <w:t>IT: GE_GERICHTE ATAS/90/2016 del 2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4.2</w:t>
      </w:r>
    </w:p>
    <w:p>
      <w:r>
        <w:t>;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 du Tribunal fédéral I 257/04 du 17 mars 2005 ; arrêts du Tribunal fédéral D. I 308/04 et I 309/04 du 14 janvier 2005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5</w:t>
      </w:r>
    </w:p>
    <w:p>
      <w:r>
        <w:t>Le litige porte sur le droit de l’assurée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w:t>
      </w:r>
    </w:p>
    <w:p>
      <w:r>
        <w:t>A/3383/2015 - 5/10 -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En l’espèce, l’OAI a retenu que l’assurée, en bonne santé, n’aurait pas exercé d’activité lucrative. L’assurée n’allègue pas qu’elle aurait travaillé si elle avait été en bonne santé. Elle n’a au demeurant jamais exercé aucune activité lucrative en Suisse. C’est dès lors à bon droit que l’OAI lui a appliqué la méthode dite spécifique.</w:t>
      </w:r>
    </w:p>
    <w:p>
      <w:r>
        <w:rPr>
          <w:b/>
        </w:rPr>
        <w:t>E. 9</w:t>
      </w:r>
    </w:p>
    <w:p>
      <w:r>
        <w:t>Aux termes de l’art. 28a al. 2 LAI, « l'invalidité de l'assuré qui n'exerce pas d'activité lucrative et dont on ne peut raisonnablement exiger qu'il en entreprenne une est évaluée, en dérogation à l'art. 16 LPGA, en fonction de son incapacité à accomplir ses travaux habituels ». L’art. 27 RAI précise que « par travaux habituels des assurés travaillant dans le ménage, il faut entendre notamment l'activité usuelle dans le ménage, l'éducation des enfants ainsi que toute activité artistique ou d'utilité publique ».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L'administration procède ainsi à une enquête sur les activités ménagères et fixe l'empêchement dans chacune des activités habituelles conformément aux chiffres 3095ss de la circulaire concernant l'invalidité et l'impotence de l'assurance- 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w:t>
      </w:r>
    </w:p>
    <w:p>
      <w:r>
        <w:t>A/3383/2015 - 6/10 -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w:t>
      </w:r>
    </w:p>
    <w:p>
      <w:r>
        <w:rPr>
          <w:b/>
        </w:rPr>
        <w:t>E. 10</w:t>
      </w:r>
    </w:p>
    <w:p>
      <w:r>
        <w:t>Pour satisfaire à l'obligation de réduire le dommage (voir ATF 129 V 463 consid.</w:t>
      </w:r>
    </w:p>
    <w:p>
      <w:r>
        <w:rPr>
          <w:b/>
        </w:rPr>
        <w:t>E. 11</w:t>
      </w:r>
    </w:p>
    <w:p>
      <w:r>
        <w:t>La jurisprudence ne pose pas de grandeur limite au-delà de laquelle l'aide des membres de la famille ne serait plus possible (arrêt 9C_716/2012 du 11 avril 2013 consid. 4.4). Elle pose comme critère que l'aide ne saurait constituer une charge excessive du seul fait qu'elle va au-delà du soutien que l'on peut attendre de</w:t>
      </w:r>
    </w:p>
    <w:p>
      <w:r>
        <w:t>A/3383/2015 - 7/10 - manière habituelle sans atteinte à la santé (ATF 133 V 504 consid. 4.2 p. 509 s.; 130 V 97 consid. 3.3.3 p. 101 et les références).</w:t>
      </w:r>
    </w:p>
    <w:p>
      <w:r>
        <w:rPr>
          <w:b/>
        </w:rPr>
        <w:t>E. 12</w:t>
      </w:r>
    </w:p>
    <w:p>
      <w:r>
        <w:t>Dans le cadre de l'évaluation de l'invalidité dans les travaux habituels, l'aide des membres de la famille (en particulier celle des enfants) va au-delà de ce qu'on peut attendre de celles-ci, si la personne assurée n'est pas atteinte dans sa santé (arrêt du Tribunal fédéral I 681/02 S. du 11 août 2003 ; arrêt du Tribunal fédéral non publié I 407/92 C. du 8 novembre 1993).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13</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A/3383/2015 - 8/10 -</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18</w:t>
      </w:r>
    </w:p>
    <w:p>
      <w:r>
        <w:t>La fixation de l'invalidité dans les travaux habituels ne peut toutefois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w:t>
      </w:r>
    </w:p>
    <w:p>
      <w:r>
        <w:rPr>
          <w:b/>
        </w:rPr>
        <w:t>E. 19</w:t>
      </w:r>
    </w:p>
    <w:p>
      <w:r>
        <w:t>En l’espèce, le Dr C______ n’a certes ni fixé de taux d’incapacité de travail, ni indiqué de limitations fonctionnelles. Force est toutefois de constater qu’il n’a pas jugé nécessaire de le faire, partant de l’idée que sa patiente n’exerçait pas d’activité lucrative. Il a par ailleurs déclaré qu’il ne pouvait pas se prononcer sur les limitations fonctionnelles.</w:t>
      </w:r>
    </w:p>
    <w:p>
      <w:r>
        <w:rPr>
          <w:b/>
        </w:rPr>
        <w:t>E. 20</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w:t>
      </w:r>
    </w:p>
    <w:p>
      <w:r>
        <w:t>A/3383/2015 - 9/10 - de façon sommaire, dans l’idée que le tribunal les éclaircirait comme il convient en cas de recours (voir RAMA 1986 n° K 665 p. 87).</w:t>
      </w:r>
    </w:p>
    <w:p>
      <w:r>
        <w:rPr>
          <w:b/>
        </w:rPr>
        <w:t>E. 21</w:t>
      </w:r>
    </w:p>
    <w:p>
      <w:r>
        <w:t>Force est ainsi de constater que le dossier n’est pas en état d’être jugé. Il se justifie, partant, de renvoyer le dossier à l’OAI pour instruction complémentaire. L’OAI devra procéder à une enquête ménagère, et rendre une nouvelle décision.</w:t>
      </w:r>
    </w:p>
    <w:p>
      <w:r>
        <w:rPr>
          <w:b/>
        </w:rPr>
        <w:t>E. 22</w:t>
      </w:r>
    </w:p>
    <w:p>
      <w:r>
        <w:t>Le recours est par conséquent partiellement admis.</w:t>
      </w:r>
    </w:p>
    <w:p>
      <w:r>
        <w:t>A/3383/2015 - 10/10 -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