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ATAS/909/2024 vom 20. November 2024</w:t>
      </w:r>
    </w:p>
    <w:p>
      <w:r>
        <w:t>GE Cour de justice, 2024-11-20, FR</w:t>
      </w:r>
    </w:p>
    <w:p>
      <w:r>
        <w:rPr>
          <w:b/>
        </w:rPr>
        <w:t xml:space="preserve">Quelle: </w:t>
      </w:r>
      <w:r>
        <w:t>https://mcp.opencaselaw.ch/entscheid/ge_gerichte_ATAS_909_2024</w:t>
      </w:r>
    </w:p>
    <w:p>
      <w:r>
        <w:t>FR: GE_GERICHTE ATAS/909/2024 du 20 novembre 2024</w:t>
      </w:r>
    </w:p>
    <w:p>
      <w:r>
        <w:t>IT: GE_GERICHTE ATAS/909/2024 del 20 novembre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Selon l'art. 58 LPGA, le tribunal des assurances compétent est celui du canton de domicile de l’assuré ou d’une autre partie au moment du dépôt du recours (al. 1). Compte tenu du domicile genevois du recourant, la Cour de céans est compétente à raison de la matière et du lieu pour juger du cas d’espèce.</w:t>
      </w:r>
    </w:p>
    <w:p>
      <w:r>
        <w:rPr>
          <w:b/>
        </w:rPr>
        <w:t>E. 2</w:t>
      </w:r>
    </w:p>
    <w:p>
      <w:r>
        <w:t>À teneur de l'art. 1 al. 1 LAA, les dispositions de la LPGA s'appliquent à l'assurance-accidents, à moins que la loi n'y déroge expressément.</w:t>
      </w:r>
    </w:p>
    <w:p>
      <w:r>
        <w:t>A/3757/2023 - 11/23 -</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5</w:t>
      </w:r>
    </w:p>
    <w:p>
      <w:r>
        <w:t>Le délai de recours est de trente jours (art. 56 LPGA ; art. 62 al. 1 de la de loi sur la procédure administrative du 12 septembre 1985 [LPA - E 5 10]). Interjeté dans la forme et le délai prévus par la loi, le recours est recevable.</w:t>
      </w:r>
    </w:p>
    <w:p>
      <w:r>
        <w:rPr>
          <w:b/>
        </w:rPr>
        <w:t>E. 6</w:t>
      </w:r>
    </w:p>
    <w:p>
      <w:r>
        <w:t>Le litige porte sur le taux d’invalidité du recourant.</w:t>
      </w:r>
    </w:p>
    <w:p>
      <w:r>
        <w:rPr>
          <w:b/>
        </w:rPr>
        <w:t>E. 7</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w:t>
      </w:r>
    </w:p>
    <w:p>
      <w:r>
        <w:t>A/3757/2023 - 12/23 -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RAMA 1999 n° U 341 p. 408, consid. 3b). Il convient en principe d'en rechercher l'étiologie et de vérifier, sur cette base, l'existence du rapport de causalité avec l'événement assuré.</w:t>
      </w:r>
    </w:p>
    <w:p>
      <w:r>
        <w:rPr>
          <w:b/>
        </w:rPr>
        <w:t>E. 8.1</w:t>
      </w:r>
    </w:p>
    <w:p>
      <w:r>
        <w:t>En matière de lésions du rachis cervical par accident de type «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(arrêt du Tribunal fédéral 8C_204/2019 du 12 mai 2020 consid. 6.1). Il faut que les troubles à la nuque ou à la colonne cervicale se manifestent dans la période de 72 heures suivant l'accident, mais il n'est en revanche pas nécessaire que les autres troubles caractéristiques du tableau clinique apparaissent dans ce laps de temps (arrêt du Tribunal fédéral 8C_450/2007 du 17 janvier 2008 consid. 6).</w:t>
      </w:r>
    </w:p>
    <w:p>
      <w:r>
        <w:rPr>
          <w:b/>
        </w:rPr>
        <w:t>E. 8.2</w:t>
      </w:r>
    </w:p>
    <w:p>
      <w:r>
        <w:t>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(ATF 138 V 248 consid. 5.1). Selon la jurisprudence, la seule constatation de troubles neuropsychologiques ne suffit pas pour établir la présence d'une atteinte organique (arrêt du Tribunal fédéral 8C_427/2013 du 19 mars 2014 consid. 5.2).</w:t>
      </w:r>
    </w:p>
    <w:p>
      <w:r>
        <w:rPr>
          <w:b/>
        </w:rPr>
        <w:t>E. 8.3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w:t>
      </w:r>
    </w:p>
    <w:p>
      <w:r>
        <w:t>A/3757/2023 - 13/23 -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w:t>
      </w:r>
    </w:p>
    <w:p>
      <w:r>
        <w:t>A/3757/2023 - 14/23 -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12</w:t>
      </w:r>
    </w:p>
    <w:p>
      <w:r>
        <w:t>La notion d'invalidité définie à l'art. 8 LPGA est en principe identique dans l'assurance-accidents, l'assurance militaire et l'assurance-invalidité (ATF 126 V 288 consid. 2d). Il n'en demeure pas moins que l'évaluation de l'invalidité par l'assurance-invalidité n'a pas de force contraignante pour l'assureur-accidents (ATF 131 V 362 consid. 2.3) et inversement (ATF 133 V 549 consid. 6). Ce principe s'applique également lorsque dans les deux procédures d'assurance concernant l'examen d'un éventuel droit à une rente d'invalidité, la capacité de travail résiduelle de l'assuré est évaluée de manière identique (arrêt du Tribunal fédéral 8C_530/2022 du 25 avril 2023 consid. 4.3.1).</w:t>
      </w:r>
    </w:p>
    <w:p>
      <w:r>
        <w:rPr>
          <w:b/>
        </w:rPr>
        <w:t>E. 13.1</w:t>
      </w:r>
    </w:p>
    <w:p>
      <w:r>
        <w:t>Dans le cas d’espèce, les parties s’opposent sur le degré d’invalidité retenu. Le recourant conclut à l’octroi d’une rente d’invalidité de 100%, faisant valoir que toutes ses atteintes sont liées à l’accident et l’appréciation de l’assurance- invalidité qu’il entend faire appliquer également au niveau de l’assurance- accident. De son côté, l’intimée se base sur les conclusions de ses médecins d’assurance pour considérer que seules certaines atteintes sont liées à l’accident et pour s’écarter de l’expertise réalisée auprès de N______. La position de l’assurance-invalidité ne lui étant pas opposable.</w:t>
      </w:r>
    </w:p>
    <w:p>
      <w:r>
        <w:rPr>
          <w:b/>
        </w:rPr>
        <w:t>E. 13.2</w:t>
      </w:r>
    </w:p>
    <w:p>
      <w:r>
        <w:t>La Cour commencera dès lors par l’analyse des éléments médicaux au dossier, soit en particulier le rapport d’expertise et les appréciations des médecins d’assurance. Sans que cela soit contesté par le recourant, la Cour relèvera en premier lieu que les experts ont nié l’existence d’atteintes psychiques et relevant de la médecine interne. S’agissant du volet orthopédique, l’expert de N______ a rejoint les conclusions des Drs G______ et K______, tant au niveau des limitations que de la capacité pleine et entière dans une activité adaptée. Il en découle dès lors que les volets litigieux sont les plans neuropsychologique et en particulier neurologique, lequel a conduit à retenir une capacité de travail dans une activité adaptée réduite à 40%. Cependant, comme le souligne à juste titre l’intimée, il y a lieu de rappeler à ce stade que, contrairement à l’assurance-invalidité, elle ne doit prester que pour les atteintes en lien avec l’accident d’août 2015. L’assurance-accident n’est donc pas liée par l’évaluation du degré d’invalidité réalisée dans le cadre de l’assurance-invalidité. S’agissant des troubles neuropsychologiques, il ressort du rapport de Madame T______ que les résultats doivent être interprétés avec la plus grande</w:t>
      </w:r>
    </w:p>
    <w:p>
      <w:r>
        <w:t>A/3757/2023 - 15/23 - prudence non seulement à cause du faible niveau scolaire du recourant, mais aussi en raison de la présence de quelques résultats insuffisants aux tests de validation des performances avec l’impression clinique que par moment il performait au- dessous de son réel potentiel. Elle concluait à une atteinte neuropsychologique de degré léger très probablement d’étiologie mixte, psychiatrique et toxique avec une éventuelle participation non exclue de la symptomatologie douloureuse et de la prise de médicament. Pour rappel, dans son rapport du 2 février 2021, la Dre I______ concluait : « Chez ce patient jeune connu pour des facteurs de risque cardio-vasculaires traités, une consommation éthylique à risque et une médication psychotrope, l’évaluation mentale et l’examen neurologique de ce jour ne mettent en évidence que des fluctuations attentionnelles. Celles-ci ne sont pas spécifiques du point de vue neurologique, mais peuvent être attribués à une origine psychique, iatrogène et/ou toxique. Il n’y a aucun argument pour une pathologie neurologique, en particulier une affection post-traumatique ou dégénérative ». S’agissant du Prof. O______, il retient que le trouble cognitif léger est d’origine mixte (consommation d’alcool à risque, psychotropes, syndrome d’apnées du sommeil, petit niveau d’éducation), soit des éléments sans lien avec l’accident. A ce stade, il sied de souligner que, dans son rapport, le Prof. O______ a indiqué que le psychiatre se prononcerait sur les troubles cognitivo-comportementaux, tout en les retenant également dans sa propre analyse. Or, l’expert psychiatre a conclu à l’absence d’atteinte psychiatrique et d’incapacité de travail y relative. Il faut par ailleurs rappeler que la consultation auprès de la Dre I______ est intervenue en février 2021, consultation requise car il avait été noté des difficultés de concentration depuis 6 mois, soit depuis courant 2020. Environ cinq ans se sont écoulés depuis l’accident, étant précisé que c’est en raison des douleurs et des interventions que le recourant a dû interrompre les mesures d’ordre professionnel, des troubles cognitifs n’ayant pas été annoncés auparavant. Ce n’est qu’en avril 2021 qu’un suivi psychiatrique a débuté. Au vu de ce qui précède, il y a lieu de retenir que les troubles neuropsychologiques ne sont pas en lien de causalité naturelle avec l’accident, de sorte qu’il n’est pas nécessaire de procéder à l’examen de la causalité adéquate. Reste à examiner les autres diagnostics posés par le Prof. O______.</w:t>
      </w:r>
    </w:p>
    <w:p>
      <w:r>
        <w:rPr>
          <w:b/>
        </w:rPr>
        <w:t>E. 13.3</w:t>
      </w:r>
    </w:p>
    <w:p>
      <w:r>
        <w:t>En ce qui concerne le trouble comportemental, le Prof. O______ le qualifie lui-même de « non-neurologique ». Les examens pratiqués ont par ailleurs exclu une séquelle post-traumatique. Comme l’a relevé à juste titre l’intimée, ce diagnostic ne relève pas du domaine de compétence du Prof. O______, mais du volet psychiatre, étant rappelé que l’expert psychiatre a nié toute atteinte incapacitante.</w:t>
      </w:r>
    </w:p>
    <w:p>
      <w:r>
        <w:t>A/3757/2023 - 16/23 - Le trouble comportemental ne peut donc pas être retenu. S’agissant du status après syndrome radiculaire L5 sur sténose du récessus L5-S1 gauche, la Prof. U______ a expliqué de manière convaincante que l’électrophysiologie a confirmé l’absence de lésions. Par ailleurs, il y avait une absence de symptômes d’une radiculopathie décrits initialement avec une IRM lombaire excluant des lésions structurelles suite à l’accident. Le lien de causalité avec l’accident doit donc être également exclu. Il subsiste dès lors la « parésie antalgie distale du membre supérieur droit avec douleurs mixtes neurogènes et mécaniques sur status après fracture du scaphoïde avec pseudarthrose et interventions multiples avec atteinte partielle de la branche interosseuse postérieure du nerf radial droit et du médian au tunnel carpien ». La Prof. U______ a développé tant dans son appréciation que dans son rapport du 2 février 2021, que la Dre I______ n’avait pas diagnostiqué de déficit neurologique. On ne pouvait toutefois pas exclure que l’atteinte au nerf interosseux et du tunnel carpien soit en lien avec l’accident ou résulte des multiples interventions. Cependant, de telles altérations ne pouvaient pas expliquer une incapacité dans une activité adaptée, soit une activité légère sans port de charge de plus de 5 kg. Il sied de relever que dans ses conclusions la Prof. U______ mentionne le membre supérieur gauche en lieu et place du membre supérieur droit. Toutefois, en regard des limitations fixées par le Prof. O______ en lien avec le membre supérieur droit, force est de constater qu’elles sont similaires à celles retenues par l’expert orthopédique et les médecins d’assurance qui concluaient à une pleine capacité de travail dans une activité adaptée. La Cour de céans considère dès lors que la capacité de travail de 40% ne peut être retenue vis-à-vis de l’intimée puisqu’il a été démontré qu’elle repose sur des atteintes qui ne relevaient d’une part pas de la spécialité de l’expert qui les a fixées, ce dernier étant dès lors sorti de son cadre de compétence. D’autre part, cette capacité de travail réduite et les limitations y relatives, hormis s’agissant du membre supérieur droit, sont basées sur des troubles qui ne sont pas en lien de causalité avec l’accident et dont l’intimée n’a pas à répondre. Au vu de ce qui précède et sur la base des éléments au dossier, la capacité de travail de 100% dans une activité adaptée sera confirmée.</w:t>
      </w:r>
    </w:p>
    <w:p>
      <w:r>
        <w:rPr>
          <w:b/>
        </w:rPr>
        <w:t>E. 14</w:t>
      </w:r>
    </w:p>
    <w:p>
      <w:r>
        <w:t>Il s’agit à présent de vérifier le degré d’invalidité.</w:t>
      </w:r>
    </w:p>
    <w:p>
      <w:r>
        <w:rPr>
          <w:b/>
        </w:rPr>
        <w:t>E. 14.1</w:t>
      </w:r>
    </w:p>
    <w:p>
      <w:r>
        <w:t>Si l'assuré est invalide (art. 8 LPGA) à 10 % au moins par suite d’un accident, il a droit à une rente d'invalidité (art. 18 al. 1 LAA). Pour évaluer le taux d'invalidité, le revenu que l'assuré aurait pu obtenir s'il n'était pas invalide est comparé avec celui qu'il pourrait obtenir en exerçant l'activité qui peut raisonnablement être exigée de lui après les traitements et les mesures de</w:t>
      </w:r>
    </w:p>
    <w:p>
      <w:r>
        <w:t>A/3757/2023 - 17/23 - réadaptation, sur un marché du travail équilibré (art. 16 LPGA ; méthode ordinaire de la comparaison des revenus).</w:t>
      </w:r>
    </w:p>
    <w:p>
      <w:r>
        <w:rPr>
          <w:b/>
        </w:rPr>
        <w:t>E. 14.2</w:t>
      </w:r>
    </w:p>
    <w:p>
      <w:r>
        <w:t>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 ci n'est pas objectivement surmontable (al. 2).</w:t>
      </w:r>
    </w:p>
    <w:p>
      <w:r>
        <w:rPr>
          <w:b/>
        </w:rPr>
        <w:t>E. 14.3</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14.4</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139 V 28 consid. 3.3.2 et les références ; 135 V 297 consid. 5.1 et les références ; 134 V 322 consid. 4.1 et les références).</w:t>
      </w:r>
    </w:p>
    <w:p>
      <w:r>
        <w:rPr>
          <w:b/>
        </w:rPr>
        <w:t>E. 14.5</w:t>
      </w:r>
    </w:p>
    <w:p>
      <w:r>
        <w:t>On évaluera le revenu que l'assuré pourrait encore réaliser dans une activité adaptée avant tout en fonction de la situation concrète dans laquelle il se trouve. Lorsqu'il a repris l'exercice d'une activité lucrative après la survenance de l'atteinte</w:t>
      </w:r>
    </w:p>
    <w:p>
      <w:r>
        <w:t>A/3757/2023 - 18/23 -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w:t>
      </w:r>
    </w:p>
    <w:p>
      <w:r>
        <w:rPr>
          <w:b/>
        </w:rPr>
        <w:t>E. 14.5.1</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ATF 143 V 295 consid. 2.2 et les références).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"total secteur privé"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w:t>
      </w:r>
    </w:p>
    <w:p>
      <w:r>
        <w:t>A/3757/2023 - 19/23 -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w:t>
      </w:r>
    </w:p>
    <w:p>
      <w:r>
        <w:rPr>
          <w:b/>
        </w:rPr>
        <w:t>E. 14.5.2</w:t>
      </w:r>
    </w:p>
    <w:p>
      <w:r>
        <w:t>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w:t>
      </w:r>
    </w:p>
    <w:p>
      <w:r>
        <w:rPr>
          <w:b/>
        </w:rPr>
        <w:t>E. 14.5.3</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148 V 174 consid. 6.3 et les références ; ATF 135 V 297 consid. 5.2;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ATF 146 V 16 consid. 4.1 et les références; ATF 126 V 75 consid. 5b/aa). Il n'y a pas lieu de procéder à des déductions distinctes pour chacun des facteurs entrant en considération ; il faut</w:t>
      </w:r>
    </w:p>
    <w:p>
      <w:r>
        <w:t>A/3757/2023 - 20/23 - bien plutôt procéder à une évaluation globale, dans les limites du pouvoir d'appréciation, des effets de ces facteurs sur le revenu d'invalide, compte tenu de l'ensemble des circonstances du cas concret (ATF 148 V 174 consid. 6.3 et les références; ATF 126 V 75 consid. 5b/bb et les références ; arrêt du Tribunal fédéral 8C_608/2021 du 26 avril 2022 consid. 3.3 et les références). L'absence d'expérience et de formation ne joue pas de rôle sur les perspectives salariales lorsque le revenu d'invalide est déterminé en référence au salaire statistique auquel peuvent prétendre les hommes effectuant des activités simples et répétitives de niveau de compétence 1. En effet, ce niveau de compétence de l'ESS concerne une catégorie d'emplois ne nécessitant ni formation ni expérience professionnelle spécifique (arrêt du Tribunal fédéral 8C_118/2021 du 21 décembre 2021 consid. 6.3.2). La prise en compte d'un abattement en raison des années de service ne se justifie guère dans le cadre du niveau de compétence 1, l'influence de la durée de service sur le salaire étant peu importante dans cette catégorie d'emplois (arrêt du Tribunal fédéral 8C_280/2022 du 1er mars 2023 consid. 7.2.4).</w:t>
      </w:r>
    </w:p>
    <w:p>
      <w:r>
        <w:rPr>
          <w:b/>
        </w:rPr>
        <w:t>E. 14.6</w:t>
      </w:r>
    </w:p>
    <w:p>
      <w:r>
        <w:t>Il n'y a pas lieu, dans le revenu sans invalidité comme dans le revenu d'invalide, de prendre en considération les allocations familiales lesquelles ne sont pas comprises dans la notion de revenu provenant d'une activité lucrative au sens de l'AVS (cf. art. 6 al. 2 let. f du règlement sur l'assurance-vieillesse et survivants- RAVS).</w:t>
      </w:r>
    </w:p>
    <w:p>
      <w:r>
        <w:rPr>
          <w:b/>
        </w:rPr>
        <w:t>E. 14.7</w:t>
      </w:r>
    </w:p>
    <w:p>
      <w:r>
        <w:t>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(cf. ATF 143 V 295 consid. 4.1.3 ; arrêt du Tribunal fédéral 8C_659/2022 du 2 mai 2023 consid. 7.2).</w:t>
      </w:r>
    </w:p>
    <w:p>
      <w:r>
        <w:rPr>
          <w:b/>
        </w:rPr>
        <w:t>E. 14.8</w:t>
      </w:r>
    </w:p>
    <w:p>
      <w:r>
        <w:t>En l’espèce, s’agissant du revenu sans invalidité, selon les déclarations des employeurs du recourant, le salaire auprès B______ se serait élevé à CHF 70'184.85 en 2021 (5'399 x 12 mois + 8.33 de 13ème) auquel s’ajoutait celui qui aurait été réalisé auprès C______ de CHF 10'637.10 (salaire horaire de CHF 23.60 + CHF 1.97 de 13ème, 8 heures par semaine x 52 semaines), ce qui représente la somme de CHF 80'821.95. Après indexation selon l’indice des salaires nominaux (+ 0,6%), il en résulte un salaire sans invalidité de CHF 81'306.90 pour 2022. Le salaire évoqué par le recourant de CHF 85'087.- (recte : 85'085.05) correspond au gain assuré utilisé pour fixer le montant des indemnités journalières selon l’art. 17 al.1 LAA, ce dernier comprend les allocations familiales, ce qui n’est pas</w:t>
      </w:r>
    </w:p>
    <w:p>
      <w:r>
        <w:t>A/3757/2023 - 21/23 - le cas des montants appliqués pour déterminer le taux d’invalidité conformément aux principes rappelés précédemment. Cet argument ne permet dès lors pas de remettre en cause la fixation du salaire sans invalidité. S’agissant du revenu avec invalidité, le recourant n’ayant pas repris d’activité, il sera fait appel aux données de l’Enquête suisse sur la structure des salaires (ESS). En ce qui concerne l’année de référence des tableaux statistiques à appliquer, l’ESS 2020 a été publiée le 23 août 2022. Dès lors qu’au moment où la décision litigieuse a été rendue, le 12 octobre 2023, l’intimée disposait des données 2020, le salaire avec invalidité doit être déterminé sur la base de l'ESS 2020 (arrêt du Tribunal fédéral 8C_655/2016 du 4 août 2017 consid. 6.3) et être indexé jusqu’à la date de l’ouverture (éventuel) du droit à la rente, soit le 1er mars 2022 (ATF 129 V 222 consid. 4.1 et 4.2). Ainsi, il y a lieu de se référer au tableau TA1_tirage_skill_level de l'ESS 2020, dont il ressort que le revenu statistique tiré d'activités physiques ou manuelles simples dans le secteur privé s'élève à CHF 5'261.- pour un homme (niveau 1, total, part au 13ème salaire comprise), ou à CHF 63'132.- par année pour un plein temps (5'261 × 12). Il sera précisé à ce stade que malgré la référence à la rubrique « industries manufacturières » dans la décision litigieuse, l’intimée a bel et bien appliqué la valeur médiane, ce qui est conforme à la jurisprudence. Le salaire hypothétique de CHF 63'132.- se base sur une durée hebdomadaire de travail de 40 heures, inférieure à la moyenne usuelle dans les entreprises. Il convient dès lors de l’ajuster à la durée hebdomadaire normale de travail en 2020 (arrêt du Tribunal fédéral 9C_603/2015 du 25 avril 2016 consid. 8.1), laquelle est de 41.7 heures (tableau « Durée normale du travail dans les entreprises selon la division économique » de l’OFS), ce qui porte le salaire annuel à CHF 65'815.11 pour un plein temps (63'132 × 41.7 / 40). Après indexation selon l’indice des salaires nominaux, (- 0.7 en 2021, respectivement + 1.1 en 2022), le revenu est porté à CHF 66'073.30. S’agissant de la réduction supplémentaire, l’intimée a retenu un taux de 10%, essentiellement en raison des limitations fonctionnelles. En l’espèce, cette appréciation est conforme aux principes en la matière, les spécificités du cas d’espèce ne justifiant pas un abattement supérieur, le revenu avec invalidité s’élève à CHF 59'466.-. Comparé au revenu sans invalidité de CHF 81'306.90, il en résulte une perte de gain de 26.86%, arrondi à 27%. Si l’administration ou le juge, se fondant sur une appréciation consciencieuse des preuves fournies par les investigations auxquelles ils doivent procéder d’office, sont convaincus que certains faits présentent un degré de vraisemblance</w:t>
      </w:r>
    </w:p>
    <w:p>
      <w:r>
        <w:t>A/3757/2023 - 22/23 -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ATF 122 V 157 consid. 1d). Il apparaît dès lors que, la problématique étant essentiellement médicale, l’audition du recourant n’est pas susceptible de modifier l’appréciation de la Cour. A cela s’ajoute que le recourant a eu l’opportunité de se prononcer sur le contenu du dossier de l’assurance-invalidité et de la dernière détermination de l’intimée qui répondait à ses arguments, opportunité qu’il n’a pas saisie. Par conséquent, il sera renoncé à l’audition du recourant. Au vu de ce qui précède, le recours est rejeté. Pour le surplus, la procédure est gratuite (art. 61 let. fbis LPGA a contrario).</w:t>
      </w:r>
    </w:p>
    <w:p>
      <w:r>
        <w:t>***</w:t>
      </w:r>
    </w:p>
    <w:p>
      <w:r>
        <w:t>A/3757/2023 - 23/23 -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