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ATAS/909/2016 vom 7. November 2016</w:t>
      </w:r>
    </w:p>
    <w:p>
      <w:r>
        <w:t>GE Cour de justice, 2016-11-07, FR</w:t>
      </w:r>
    </w:p>
    <w:p>
      <w:r>
        <w:rPr>
          <w:b/>
        </w:rPr>
        <w:t xml:space="preserve">Quelle: </w:t>
      </w:r>
      <w:r>
        <w:t>https://mcp.opencaselaw.ch/entscheid/ge_gerichte_ATAS_909_2016</w:t>
      </w:r>
    </w:p>
    <w:p>
      <w:r>
        <w:t>FR: GE_GERICHTE ATAS/909/2016 du 7 novembre 2016</w:t>
      </w:r>
    </w:p>
    <w:p>
      <w:r>
        <w:t>IT: GE_GERICHTE ATAS/909/2016 del 7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A/2583/2016 4/5 acquise avant le mariage est de 4% jusqu'au 31 décembre 2002, 3.25% en 2003, 2.25% en 2004, 2.5% de 2005 à 2007, 2.75% en 2008, 2% de 2009 à 2011, 1.5% de 2012 à 2013, 1.75% de 2014 à 2015 et 1.25% dès le 1er janvier 2016.</w:t>
      </w:r>
    </w:p>
    <w:p>
      <w:r>
        <w:rPr>
          <w:b/>
        </w:rPr>
        <w:t>E. 5</w:t>
      </w:r>
    </w:p>
    <w:p>
      <w:r>
        <w:t>juillet 2016, date à laquelle le jugement de divorce est devenu exécutoire. Selon les documents produits, la prestation acquise pendant le mariage par le demandeur est de CHF 310'176.- auprès de la Fondation collective LPP Swiss Life SA, les intérêts ayant déjà été calculés par l’institution de prévoyance, tandis que la demanderesse n’a pas cotisée. Ainsi le demandeur doit à son ex-épouse le montant de CHF 155'088.- (CHF 310’176 : 2). La demanderesse n’ayant pas communiqué les références d’un compte de libre passage, il incombe à la Fondation collective LPP Swiss Life SA de requérir l’ouverture d’un compte au nom de la demanderesse auprès de la Fondation institution supplétive LPP afin que le montant précité lui soit crédité.</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A/2583/2016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