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ATAS/909/2012 vom 11. Juli 2012</w:t>
      </w:r>
    </w:p>
    <w:p>
      <w:r>
        <w:t>GE Cour de justice, 2012-07-11, FR</w:t>
      </w:r>
    </w:p>
    <w:p>
      <w:r>
        <w:rPr>
          <w:b/>
        </w:rPr>
        <w:t xml:space="preserve">Quelle: </w:t>
      </w:r>
      <w:r>
        <w:t>https://mcp.opencaselaw.ch/entscheid/ge_gerichte_ATAS_909_2012</w:t>
      </w:r>
    </w:p>
    <w:p>
      <w:r>
        <w:t>FR: GE_GERICHTE ATAS/909/2012 du 11 juillet 2012</w:t>
      </w:r>
    </w:p>
    <w:p>
      <w:r>
        <w:t>IT: GE_GERICHTE ATAS/909/2012 del 11 luglio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c’est à juste titre que l’intimée a mis fin aux prestations d’assurance le 28 août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w:t>
      </w:r>
    </w:p>
    <w:p>
      <w:r>
        <w:t>A/3359/2011 - 7/12 -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(ATF non publiés</w:t>
      </w:r>
    </w:p>
    <w:p>
      <w:r>
        <w:t>A/3359/2011 - 8/12 - 8C_871/2010 du 4 octobre 2011, consid. 3.2 ; 8C_384/2009 du 5 janvier 2010, consid. 4.2.1).</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t>A/3359/2011 - 9/12 -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d)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l’intimée, en se fondant sur les conclusions du Dr P________, a estimé qu’à compter du 29 août 2011, le recourant ne présente plus d’incapacité de travail en lien avec l’accident assuré. Le recourant fait valoir, quant à lui, qu’il n’est pas apte à travailler à plus de 50%. Par rapport du 11 août 2011, le Dr P________ a proposé de clôturer le dossier. L’examen clinique de la main droite ne mettait en évidence aucun trouble dystrophique et l’inspection cutanée n’était absolument pas suspecte d’un processus algodystrophique en cours. Le bilan radiologique montrait une structure osseuse tout à fait normale, une fracture consolidée et de simples remaniements post- traumatiques suite à l’AMO. Les rapports articulaires étaient tout à fait satisfaisants. La force au niveau de la main droite était conservée. L’enroulement des doigts était complet avec seule une extension discrètement diminuée au niveau D5. Tous les tendons étaient libres. L’examen neurologique demandé au Dr S_______, à part un état hyperpathique dans le territoire cubital distal, ne permettait</w:t>
      </w:r>
    </w:p>
    <w:p>
      <w:r>
        <w:t>A/3359/2011 - 10/12 - de mettre en évidence aucune lésion nerveuse et n’objectivait aucun déficit à ce niveau. Selon le Dr P________, ni l’examen clinique, ni le bilan radiologique ne permettaient d’affirmer une maladie de Südeck. La description du poste de travail était très peu sollicitatrice pour la main, de sorte que l’on devait considérer, au terme de l’examen médical, qu’il n’y avait plus d’incapacité de travail à prendre en charge en rapport avec l’accident assuré. Les discrets troubles fonctionnels exprimés au niveau de l’auriculaire droit ne correspondaient pas à un dommage permanent indemnisable. A la lecture de l’ensemble des pièces versées au dossier, la Cour de céans est d’avis que les conclusions auxquelles aboutit le Dr P________ ne sont pas convaincantes, ce pour les motifs qui suivent. On relèvera en effet que contrairement à l’appréciation du Dr P________, la maladie de Südeck a été retenue par tous les médecins qui ont examiné le recourant, que ce soit la Dresse O________, spécialiste FMH en chirurgie de la main auprès des HUG (rapports des 26 novembre 2010 et 4 février 2011), le Dr Q________, médecin auprès de l’unité de chirurgie de la main des HUG (rapport du 20 mai 2011) ou le Dr S_______, spécialiste FMH en neurologie mandaté par l’intimée (rapport du 9 août 2011). On peine ainsi à comprendre comment le Dr P________ parvient à la conclusion que l’examen clinique qu’il a effectué le 20 juillet 2011 ne permet pas de confirmer la maladie de Südeck, alors que sur la base d’un examen clinique effectué quelques jours plus tard, soit le 8 août 2011, le Dr S_______ a estimé qu’il convenait d’aller dans le sens de cette atteinte, corroborant ainsi l’appréciation des Drs O________ et Q________. De surcroît, le fait que la radiographie standard effectuée le 21 juillet 2011 démontre une structure osseuse normale, une fracture consolidée et des rapports articulaires tout à fait satisfaisants, ne suffit toutefois pas encore à écarter le diagnostic de maladie de Südeck posé par les médecins précités et pour lequel le recourant a suivi un traitement médicamenteux (Miacalcic, Lyrica) et des séances d’ergothérapie et de physiothérapie douce (rapports de la Dresse O________ des 26 novembre 2010 et 4 février 2011, rapport du Dr Q________ du 20 mai 2011). Compte tenu de ce qui précède, la Cour de céans est d’avis que l’ensemble de ces éléments est suffisamment pertinent pour remettre en cause les conclusions du Dr P________ en tant qu’il écarte le diagnostic de la maladie de Südeck. L’existence de cette atteinte est, conformément au degré de la vraisemblance prépondérante applicable, établie. S’agissant par ailleurs du lien de causalité naturelle entre cette atteinte et l’accident assuré, la Cour de céans relèvera que les conditions posées par la jurisprudence sont en l’occurrence remplies. En effet, l’accident survenu le 23 janvier 2009 a entraîné</w:t>
      </w:r>
    </w:p>
    <w:p>
      <w:r>
        <w:t>A/3359/2011 - 11/12 - une fracture diaphysaire transverse du 5ème métacarpien, pour laquelle une réduction ouverte et une ostéosynthèse par plaque ont été effectuées le 28 janvier 2009. Or, c’est à la suite de l’ablation du matériel d’ostéosynthèse, effectuée le 12 août 2010 - et en l’absence d’un autre facteur causal de nature non traumatique - qu’est apparue la maladie de Südeck ou l’algodystrophie, comme l’ont relevé la Dresse O________ (rapports des 26 novembre 2010 et 4 février 2011) et le Dr Q________ (rapport du 20 mai 2011). La Dresse O________ n’a certes pas mentionné à partir de quand le recourant a fait état pour la première fois de symptômes relatifs à la maladie de Südeck. Quoi qu’il en soit, les pièces versées au dossier permettent de retenir que les plaintes du recourant en rapport avec cette affection ont été exprimées en tout cas le 7 octobre 2010, lors d’un entretien téléphonique avec un employé de l’intimée, soit avant l’expiration d’un délai de huit semaines à compter de l’AMO (le 12 août 2010). Compte tenu de ce qui précède, il y a lieu de constater que la responsabilité de l’intimée est établie pour la maladie de Südeck dont souffre le recourant à la main droite. Il ressort par ailleurs des pièces versées à la procédure, que postérieurement au 28 août 2011 - date à laquelle l’intimée a mis fin aux prestations - le recourant était encore en traitement pour cette atteinte auprès du Dr Q________ (cf. certificats des 17 août et 12 septembre 2011, note téléphonique du 24 août 2011), de sorte que l’intimée sera tenue de reprendre le remboursement des frais de traitement y relatifs. S’agissant enfin de la question de la répercussion de ce trouble sur la capacité de travail du recourant à compter du 29 août 2011, la Cour de céans constate que les pièces médicales ne permettent pas d’établir, à satisfaction de droit, à quel taux le recourant pouvait alors exercer son activité lucrative. Le Dr S_______ ne s’est en effet pas prononcé sur cette question et l’appréciation du Dr Q________, émise en qualité de médecin traitant, doit être abordée avec une certaine retenue. L’intimée sera par conséquent invitée à instruire ce point, en sollicitant, le cas échéant, l’avis du nouveau médecin consulté par le recourant. En conséquence, c’est à tort que l’intimée a mis fin aux prestations au 28 août 2011.</w:t>
      </w:r>
    </w:p>
    <w:p>
      <w:r>
        <w:rPr>
          <w:b/>
        </w:rPr>
        <w:t>E. 9</w:t>
      </w:r>
    </w:p>
    <w:p>
      <w:r>
        <w:t>Au vu de ce qui précède, le recours sera admis, la décision annulée et l’intimée invitée à reprendre le versement des frais de traitement et, le cas échéant, celui des indemnités journalières. La procédure étant gratuite, il n'est pas perçu de frais (art. 61 let. a LPGA). Il n'est pas alloué de dépens au recourant, qui comparaît en personne.</w:t>
      </w:r>
    </w:p>
    <w:p>
      <w:r>
        <w:t>A/3359/2011 - 12/12 -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