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ATAS/908/2024 vom 20. November 2024</w:t>
      </w:r>
    </w:p>
    <w:p>
      <w:r>
        <w:t>GE Cour de justice, 2024-11-20, FR</w:t>
      </w:r>
    </w:p>
    <w:p>
      <w:r>
        <w:rPr>
          <w:b/>
        </w:rPr>
        <w:t xml:space="preserve">Quelle: </w:t>
      </w:r>
      <w:r>
        <w:t>https://mcp.opencaselaw.ch/entscheid/ge_gerichte_ATAS_908_2024</w:t>
      </w:r>
    </w:p>
    <w:p>
      <w:r>
        <w:t>FR: GE_GERICHTE ATAS/908/2024 du 20 novembre 2024</w:t>
      </w:r>
    </w:p>
    <w:p>
      <w:r>
        <w:t>IT: GE_GERICHTE ATAS/908/2024 del 20 novembre 2024</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A/510/2024 - 3/5 - Sa compétence pour juger du cas d’espèce est ainsi établie.</w:t>
      </w:r>
    </w:p>
    <w:p>
      <w:r>
        <w:rPr>
          <w:b/>
        </w:rPr>
        <w:t>E. 2</w:t>
      </w:r>
    </w:p>
    <w:p>
      <w:r>
        <w:t>Il s'agit en l'occurrence d'examiner la recevabilité du recours.</w:t>
      </w:r>
    </w:p>
    <w:p>
      <w:r>
        <w:rPr>
          <w:b/>
        </w:rPr>
        <w:t>E. 2.1</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 cf. également art. 63 al. 1 let. a de la loi sur la procédure administrative du 12 septembre 1985 [LPA - E 5 10]). Si le délai, compté par jours ou par mois, doit être communiqué aux parties, il commence à courir le lendemain de la communication. Une communication qui n’est remise que contre la signature du destinataire ou d’un tiers habilité est réputée reçue au plus tard sept jours après la première tentative infructueuse de distribution. Lorsque le délai échoit un samedi, un dimanche ou un jour férié selon le droit fédéral ou cantonal, son terme est reporté au premier jour ouvrable qui suit. Le droit cantonal déterminant est celui du canton où la partie ou son mandataire a son domicile ou son siège. Les écrits doivent être remis au plus tard le dernier jour du délai à l’assureur ou, à son adresse, à La Poste suisse ou à une représentation diplomatique ou consulaire suisse. Lorsqu’une partie s’adresse en temps utile à un assureur incompétent, le délai est réputé observé (art. 38 et 39 LPGA ; cf. art. 17 LPA).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4e éd., n° 704 p. 153 ; KÖLZ/HÄNER, Verwaltungsverfahren und Verwaltungsrechtspflege des Bundes, 2e éd., n°341 p. 123). Lorsque la notification intervient par pli recommandé, elle est réputée parfaite lorsque l'intéressé ou toute personne qui le représente ou dont on peut légitimement penser qu'elle le représente (ATF 110 V 37 consid. 3) a reçu le pli ou l'a retiré au guichet postal en cas d'absence lors du passage du facteur (arrêt du Tribunal fédéral C 24/05 du 11 avril 2005 consid. 4.1). Le délai légal ne peut pas être prolongé (art. 40 al. 1 LPGA ; cf. art. 16 al. 1 LPA). En effet, la sécurité du droit exige que certains actes ne puissent plus être accomplis passé un certain laps de temps : un terme est ainsi mis aux possibilités de contestation, de telle manière que les parties sachent avec certitude que l’acte</w:t>
      </w:r>
    </w:p>
    <w:p>
      <w:r>
        <w:t>A/510/2024 - 4/5 - qui est l’objet de la procédure est définitivement entré en force (Pierre MOOR, Droit administratif, Berne 1991, p. 181).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 cf. art. 16 al. 3 LPA). Il s’agit là de dispositions impératives auxquelles il ne peut être dérogé (Jurisprudence des autorités administratives de la Confédération [JAAC] 60/1996, consid. 5.4, p. 367 ; ATF 119 II 87 consid. 2a ;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du Tribunal fédéral 5A_149/2013 du 10 juin 2013 consid. 5.1.1 et les références citées ; 5A_896/2012 du 10 janvier 2013 consid. 3.2 ; 5A_30/2010 du 23 mars 2010 consid. 4.1 et les références).</w:t>
      </w:r>
    </w:p>
    <w:p>
      <w:r>
        <w:rPr>
          <w:b/>
        </w:rPr>
        <w:t>E. 2.2</w:t>
      </w:r>
    </w:p>
    <w:p>
      <w:r>
        <w:t>En l’espèce, il ressort des pièces du dossier que la décision sur opposition, envoyée par pli recommandé le 11 janvier 2024, a été distribuée le 13 janvier 2024. La communication est donc réputée avoir été reçue le 13 janvier 2024, de sorte que le délai de recours a commencé à courir le lendemain et est arrivé à échéance le lundi 12 février 2024. Le recours ayant été interjeté le 13 février 2024, il est tardif.</w:t>
      </w:r>
    </w:p>
    <w:p>
      <w:r>
        <w:rPr>
          <w:b/>
        </w:rPr>
        <w:t>E. 3</w:t>
      </w:r>
    </w:p>
    <w:p>
      <w:r>
        <w:t>En l'absence de motif valable de restitution de délai, le recours doit être déclaré irrecevable pour cause de tardiveté. Pour le surplus, la procédure est gratuite.</w:t>
      </w:r>
    </w:p>
    <w:p>
      <w:r>
        <w:t>A/510/2024 - 5/5 -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