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ATAS/908/2017 vom 17. Oktober 2017</w:t>
      </w:r>
    </w:p>
    <w:p>
      <w:r>
        <w:t>GE Cour de justice, 2017-10-17, FR</w:t>
      </w:r>
    </w:p>
    <w:p>
      <w:r>
        <w:rPr>
          <w:b/>
        </w:rPr>
        <w:t xml:space="preserve">Quelle: </w:t>
      </w:r>
      <w:r>
        <w:t>https://mcp.opencaselaw.ch/entscheid/ge_gerichte_ATAS_908_2017</w:t>
      </w:r>
    </w:p>
    <w:p>
      <w:r>
        <w:t>FR: GE_GERICHTE ATAS/908/2017 du 17 octobre 2017</w:t>
      </w:r>
    </w:p>
    <w:p>
      <w:r>
        <w:t>IT: GE_GERICHTE ATAS/908/2017 del 17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A/642/2017 - 4/7 -</w:t>
      </w:r>
    </w:p>
    <w:p>
      <w:r>
        <w:rPr>
          <w:b/>
        </w:rPr>
        <w:t>E. 3</w:t>
      </w:r>
    </w:p>
    <w:p>
      <w:r>
        <w:t>Interjeté dans les forme et délai légaux, le recours est recevable à la forme (art. 56 al. 1 et 60 al. 1 LPGA; art. 9 de la loi cantonale du 14 octobre 1965 sur les prestations fédérales complémentaires à l’assurance-vieillesse et survivants et à l’assurance-invalidité [LPFC - J 4 20]; art. 43 LPCC).</w:t>
      </w:r>
    </w:p>
    <w:p>
      <w:r>
        <w:rPr>
          <w:b/>
        </w:rPr>
        <w:t>E. 4</w:t>
      </w:r>
    </w:p>
    <w:p>
      <w:r>
        <w:t>Le litige se limite au droit du SPC de ne tenir compte que des dettes de l’intéressée pour lesquelles des poursuites sont en cours, le SPC ayant admis l’opposition formée par l’intéressé quant aux montants de son loyer.</w:t>
      </w:r>
    </w:p>
    <w:p>
      <w:r>
        <w:rPr>
          <w:b/>
        </w:rPr>
        <w:t>E. 5</w:t>
      </w:r>
    </w:p>
    <w:p>
      <w:r>
        <w:t>a. Les personnes qui ont leur domicile et leur résidence habituelle en Suisse et qui remplissent les conditions personnelles prévues à l’art. 4 LPC ont droit à des prestations complémentaires. Ont ainsi droit aux prestations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Les revenus déterminants comprennent notamment le produit de la fortune mobilière, un 15ème de la fortune nette, dans la mesure où elle dépasse CHF 37'500.- pour les personnes seules, les rentes, pensions et autres prestations périodiques, y compris les rentes de l’AI et les ressources et parts de fortune dont un ayant droit s’est dessaisi (art. 11 al. 1 let. b, c, d et g LPC). Selon l’art. 12 al. 1 LPC, le droit à une prestation complémentaire annuelle prend naissance le premier jour du mois au cours duquel la demande est déposée, pour autant que toutes les conditions légales soient remplies. Les Directives concernant les prestations complémentaires à l’AVS et à l’AI (DPC) précisent que font partie de la fortune d’un requérant ses biens mobiliers et immobiliers, ainsi que les droits personnels et réels lui appartenant. L’origine des éléments de fortune est irrelevante (DPC ch. 3443.01). Les dettes prouvées doivent être déduites de la fortune brute. Les dettes hypothécaires ne sont pas portées en déduction de la valeur de l’immeuble, mais en totalité du montant de la fortune globale (ch. 3443.05).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(ch. 3444.01).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t>A/642/2017 - 5/7 -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w:t>
      </w:r>
    </w:p>
    <w:p>
      <w:r>
        <w:rPr>
          <w:b/>
        </w:rPr>
        <w:t>E. 6</w:t>
      </w:r>
    </w:p>
    <w:p>
      <w:r>
        <w:t>En l’espèce, le SPC entend ne tenir compte que des poursuites en cours, alors que l’intéressé soutient que les montants résultant d’actes de défaut de biens après saisie doivent également être pris en considération. Selon le SPC, cette question peut en réalité être laissée ouverte, dès lors que le montant retenu à titre de fortune, déduction faite des seules poursuites en cours, est quoi qu’il en soit nul. L’intéressé persiste quant à lui dans ses conclusions à cet égard, « même si le résultat doit être négatif en ce qui concerne la fortune ». Il y a dès lors lieu de rappeler que, selon la jurisprudence rendue en application de l’art. 25 al. 2 de la loi fédérale du 20 décembre 1968 sur la procédure administrative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Il n’est pas contesté en l’espèce que même si l’on ne déduisait pas de la fortune les poursuites qui se sont terminées par des actes de défaut de biens, cela ne changerait</w:t>
      </w:r>
    </w:p>
    <w:p>
      <w:r>
        <w:t>A/642/2017 - 6/7 - rien en l’état pour l’intéressé quant à son droit aux prestations, au vu de l’art. 11 al. 1 let. c LPC. Il ne dispose ainsi pas d’un intérêt juridique actuel à ce que la question de savoir si les montants résultant d’actes de défaut de biens après saisie doivent être pris en considération pour calculer la fortune déterminante. Aussi le recours est-il irrecevable.</w:t>
      </w:r>
    </w:p>
    <w:p>
      <w:r>
        <w:t>A/642/2017 - 7/7 -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