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ATAS/907/2024 vom 20. November 2024</w:t>
      </w:r>
    </w:p>
    <w:p>
      <w:r>
        <w:t>GE Cour de justice, 2024-11-20, FR</w:t>
      </w:r>
    </w:p>
    <w:p>
      <w:r>
        <w:rPr>
          <w:b/>
        </w:rPr>
        <w:t xml:space="preserve">Quelle: </w:t>
      </w:r>
      <w:r>
        <w:t>https://mcp.opencaselaw.ch/entscheid/ge_gerichte_ATAS_907_2024</w:t>
      </w:r>
    </w:p>
    <w:p>
      <w:r>
        <w:t>FR: GE_GERICHTE ATAS/907/2024 du 20 novembre 2024</w:t>
      </w:r>
    </w:p>
    <w:p>
      <w:r>
        <w:t>IT: GE_GERICHTE ATAS/907/2024 del 20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d’octroi d’une rente à la recourante s’élevant à 27.5% d’une rente entière sur la base d’un taux d’invalidité de 41%, dès le 1er septembre 2023.</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porte sur l’octroi d’une rente dont le droit est né postérieurement au 31 décembre 2021, de sorte que les dispositions légales applicables seront citées dans leur nouvelle teneur.</w:t>
      </w:r>
    </w:p>
    <w:p>
      <w:r>
        <w:t>A/2706/2024 - 5/9 -</w:t>
      </w:r>
    </w:p>
    <w:p>
      <w:r>
        <w:rPr>
          <w:b/>
        </w:rPr>
        <w:t>E. 3.1</w:t>
      </w:r>
    </w:p>
    <w:p>
      <w:r>
        <w:t>Le 1er janvier 2022, sont entrées en vigueur les modifications de la LAI du 19 juin 2020 (développement continu de l’AI ; RO 2021 705) ainsi que celles du</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3.3</w:t>
      </w:r>
    </w:p>
    <w:p>
      <w:r>
        <w:t>En vertu de l’art. 28b LAI, la quotité de la rente est fixée en pourcentage d’une rente entière (al. 1). Pour un taux d’invalidité compris entre 50 et 69 %, la quotité de la rente correspond au taux d’invalidité (al. 2) ; pour un taux d’invalidité supérieur ou égal à 70%, l’assuré a droit à une rente entière (al. 3). Pour les taux d’invalidité compris entre 40 et 49%, la quotité de la rente s’échelonne de 25 à 47.5% (cf.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18ème anniversaire de l’assuré (art. 29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3.4</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w:t>
      </w:r>
    </w:p>
    <w:p>
      <w:r>
        <w:t>A/2706/2024 - 6/9 -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w:t>
      </w:r>
    </w:p>
    <w:p>
      <w:r>
        <w:rPr>
          <w:b/>
        </w:rPr>
        <w:t>E. 3.4.1</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w:t>
      </w:r>
    </w:p>
    <w:p>
      <w:r>
        <w:t>A/2706/2024 - 7/9 -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 Le Tribunal fédéral a récemment confirmé qu'il n'y a pas de motif de revenir sur le principe de l'obligation de diminuer le dommage tel que dégagé par la jurisprudence (arrêt du Tribunal fédéral 9C_248/2022 du 25 avril 2023 consid. 5.3 et les références). Pour satisfaire à l'obligation de réduire le dommage (cf. ATF 141 V 642 consid. 4.3.2 ; 140 V 267 consid. 5.2.1 ; 133 V 504 consid. 4.2),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w:t>
      </w:r>
    </w:p>
    <w:p>
      <w:r>
        <w:t>A/2706/2024 - 8/9 -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 308/04 du 14 janvier 2005 consid. 6.2.1).</w:t>
      </w:r>
    </w:p>
    <w:p>
      <w:r>
        <w:rPr>
          <w:b/>
        </w:rPr>
        <w:t>E. 3.5</w:t>
      </w:r>
    </w:p>
    <w:p>
      <w:r>
        <w:t>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w:t>
      </w:r>
    </w:p>
    <w:p>
      <w:r>
        <w:rPr>
          <w:b/>
        </w:rPr>
        <w:t>E. 4</w:t>
      </w:r>
    </w:p>
    <w:p>
      <w:r>
        <w:t>En l’espèce, l’établissement du taux d’invalidité par l’intimé a été correctement effectué en application des principes juridiques précités. La recourante ne conteste ni le statut mixte, ni la capacité de travail pris en compte par l’intimé. Le taux d’invalidité global de 41% ouvre le droit à une rente de 27.5% d’une rente entière. Les mesures que la recourante a prises pour adapter son domicile, son local de travail et ses activités ménagères et professionnelles entrent dans l’obligation qui lui incombe de réduire le dommage résultant de l’invalidité. À teneur de la loi et de la jurisprudence, ces mesures ne permettent pas de tenir compte d’un taux d’invalidité dans la sphère ménagère.</w:t>
      </w:r>
    </w:p>
    <w:p>
      <w:r>
        <w:rPr>
          <w:b/>
        </w:rPr>
        <w:t>E. 5</w:t>
      </w:r>
    </w:p>
    <w:p>
      <w:r>
        <w:t>Il en résulte que la décision de l’intimé a été correctement établie et que le recours doit être rejeté. Un émolument de CHF 200.- sera mis à la charge de la recourante (art. 69 al. 1bis LAI).</w:t>
      </w:r>
    </w:p>
    <w:p>
      <w:r>
        <w:t>A/2706/2024 - 9/9 -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