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ATAS/907/2016 vom 3. November 2016</w:t>
      </w:r>
    </w:p>
    <w:p>
      <w:r>
        <w:t>GE Cour de justice, 2016-11-03, FR</w:t>
      </w:r>
    </w:p>
    <w:p>
      <w:r>
        <w:rPr>
          <w:b/>
        </w:rPr>
        <w:t xml:space="preserve">Quelle: </w:t>
      </w:r>
      <w:r>
        <w:t>https://mcp.opencaselaw.ch/entscheid/ge_gerichte_ATAS_907_2016</w:t>
      </w:r>
    </w:p>
    <w:p>
      <w:r>
        <w:t>FR: GE_GERICHTE ATAS/907/2016 du 3 novembre 2016</w:t>
      </w:r>
    </w:p>
    <w:p>
      <w:r>
        <w:t>IT: GE_GERICHTE ATAS/907/2016 del 3 novembre 2016</w:t>
      </w:r>
    </w:p>
    <w:p>
      <w:pPr>
        <w:pStyle w:val="Heading2"/>
      </w:pPr>
      <w:r>
        <w:t>Volltext</w:t>
      </w:r>
    </w:p>
    <w:p>
      <w:r>
        <w:t>Siégeant : Maya CRAMER, Présidente; Christine BULLIARD MANGILI et Monique STOLLER FÜLLEMANN, Juges assesseurs</w:t>
      </w:r>
    </w:p>
    <w:p>
      <w:r>
        <w:t>RÉPUBLIQUE ET</w:t>
      </w:r>
    </w:p>
    <w:p>
      <w:r>
        <w:t>CANTON DE GENÈVE POUVOIR JUDICIAIRE</w:t>
      </w:r>
    </w:p>
    <w:p>
      <w:r>
        <w:t>A/2918/2016 ATAS/907/2016 COUR DE JUSTICE Chambre des assurances sociales Arrêt du 3 novembre 2016 5ème Chambre</w:t>
      </w:r>
    </w:p>
    <w:p>
      <w:r>
        <w:t>En la cause A______, sise à GENEVE</w:t>
      </w:r>
    </w:p>
    <w:p>
      <w:r>
        <w:t>recourante</w:t>
      </w:r>
    </w:p>
    <w:p>
      <w:r>
        <w:t>contre CAISSE CANTONALE GENEVOISE DE COMPENSATION, sise 12, rue des Gares, GENEVE</w:t>
      </w:r>
    </w:p>
    <w:p>
      <w:r>
        <w:t>intimée</w:t>
      </w:r>
    </w:p>
    <w:p>
      <w:r>
        <w:t>A/2918/2016 - 2/6 -</w:t>
      </w:r>
    </w:p>
    <w:p>
      <w:r>
        <w:t>A/2918/2016 - 3/6 -</w:t>
      </w:r>
    </w:p>
    <w:p>
      <w:r>
        <w:t>Attendu en fait : que par décision du 28 mai 2016, la Caisse cantonale genevoise de compensation (ci-après : la caisse) a fixé la taxe de formation professionnelle pour 2016, à la charge de l’association A______ pour le moment (ci-après: l'association), à CHF 261.-, correspondant à un effectif de neuf employés en décembre 2014 ; Que, par courrier du 28 juillet 2016, l’association a contesté cette décision par-devant la caisse, tout en indiquant que la décision venait de lui être transmise ; Que, par courrier du 10 août 2016, la caisse a accusé réception de ce courrier et a transmis à l’association une copie de sa décision de cotisations précitée, tout en indiquant que l’association avait la possibilité de former recours contre celle-ci, dans les trente jours suivant sa réception, par-devant la chambre de céans ; Que, par acte du 5 septembre 2016, l’association a recouru contre cette décision par- devant la chambre de céans, en concluant à son annulation ; Que, dans sa réponse du 20 septembre 2016, l’intimée a conclu au rejet (recte à l'irrecevabilité) du recours pour cause de tardiveté, subsidiairement à son rejet ; Que la recourante ne s'est pas déterminée sur cette réponse dans le délai imparti; Attendu en droit que les décisions sur opposition et celles contre lesquelles la voie de l’opposition n’est pas ouverte sont sujettes à recours dans les trente jours suivant la notification de la décision (art. 63 al. 1 let. a de la loi sur la procédure administrative du 12 septembre 1985 – LPA - E 5 10); Que les délais commencent à courir le lendemain de leur communication ou de l'événement qui les déclenche (art. 38 al. 1 et 2 de la loi fédérale sur la partie générale du droit des assurances sociales du 6 octobre 2000, LPGA, RS 830.1));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w:t>
      </w:r>
    </w:p>
    <w:p>
      <w:r>
        <w:t>A/2918/2016 - 4/6 - Que l’envoi sous pli simple ne permet en général pas d’établir que la communication est parvenue au destinataire, la seule présence au dossier de la copie d’une lettre n’autorisant pas à conclure avec un degré de vraisemblance prépondérante que cette lettre a été effectivement envoyée par son expéditeur et qu’elle a été reçue par le destinataire (ATF 101 Ia 8 consid. 1); que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arrêt du Tribunal fédéral des assurances C 6/02 du 21 janvier 2003); Que le fardeau de la preuve de la notification d’un acte et de sa date incombe en principe à l’autorité qui entend en tirer une conséquence juridique (ATF 124 V 402 consid. 2a), qu'en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que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8C_621/2007 du 5 mai 2008 consid. 4.2);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arrêt du Tribunal fédéral des assurances H 320/02 du 2 avril 2003); Attendu qu’en l’espèce, la recourante a formé recours par-devant la caisse deux mois après la date de notification de la décision du 28 mai 2016 ; Que, dans la mesure où cette caisse n’était pas l’autorité de recours, il lui aurait appartenu de transmettre cette contestation à la chambre de céans comme objet de sa compétence, en vertu de l’art. 11 al. 3 LPA ; Que l’intimée semble avoir procédé à une deuxième notification par son courrier du 10 août 2016, tout en mentionnant les voies de droit sans réserve ; Qu'en considérant qu’il s’agissait d’une deuxième notification, alors même que la recourante avait admis avoir reçu la décision dans son courrier du 28 juillet 2016, cette notification est toutefois sans effet en vertu de la jurisprudence susmentionnée, dès lors que la seconde notification était manifestement intervenue après l’expiration du délai de recours de trente jours à compter du 28 mai 2016 ; Que certes, on ignore en l’occurrence à quelle date précise la décision de cotisations du 28 mai 2016 a été reçue par la recourante, n’ayant pas été notifiée sous pli recommandé ;</w:t>
      </w:r>
    </w:p>
    <w:p>
      <w:r>
        <w:t>A/2918/2016 - 5/6 - Qu’il est toutefois établi que la recourante l’a reçue, comme elle l’a affirmé dans sa lettre de contestation du 28 juillet 2016 ; Qu’elle n'a en outre pas contesté que le délai de recours dès réception de la décision était expiré au moment de son recours, alors même que l'intimée l'a expressément fait valoir dans la réponse du 20 septembre 2016, dans laquelle celle-ci a conclu au rejet (recte à l’irrecevabilité) du recours pour cause de tardiveté; Qu'il doit dès lors être admis au degré de la vraisemblance prépondérante que la décision litigieuse a été reçue par la recourante plus de trente jours avant sa lettre de contestation du 28 juillet 2016; Que, dans ces conditions, il convient de constater que le recours du 28 juillet 2016 contre la décision du 28 mai 2016 est tardif et partant irrecevable.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trente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 la recourante n'a pas fait valoir de tels motifs dans le délai fixé au 17 octobre 2016 qui lui a été octroyé pour sa réplique;</w:t>
      </w:r>
    </w:p>
    <w:p>
      <w:r>
        <w:t>***</w:t>
      </w:r>
    </w:p>
    <w:p>
      <w:r>
        <w:t>A/2918/2016 - 6/6 -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