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ATAS/907/2010 vom 7. September 2010</w:t>
      </w:r>
    </w:p>
    <w:p>
      <w:r>
        <w:t>GE Cour de justice, 2010-09-07, FR</w:t>
      </w:r>
    </w:p>
    <w:p>
      <w:r>
        <w:rPr>
          <w:b/>
        </w:rPr>
        <w:t xml:space="preserve">Quelle: </w:t>
      </w:r>
      <w:r>
        <w:t>https://mcp.opencaselaw.ch/entscheid/ge_gerichte_ATAS_907_2010</w:t>
      </w:r>
    </w:p>
    <w:p>
      <w:r>
        <w:t>FR: GE_GERICHTE ATAS/907/2010 du 7 septembre 2010</w:t>
      </w:r>
    </w:p>
    <w:p>
      <w:r>
        <w:t>IT: GE_GERICHTE ATAS/907/2010 del 7 settembre 2010</w:t>
      </w:r>
    </w:p>
    <w:p>
      <w:pPr>
        <w:pStyle w:val="Heading2"/>
      </w:pPr>
      <w:r>
        <w:t>Erwägungen</w:t>
      </w:r>
    </w:p>
    <w:p>
      <w:r>
        <w:rPr>
          <w:b/>
        </w:rPr>
        <w:t>E. 1</w:t>
      </w:r>
    </w:p>
    <w:p>
      <w:r>
        <w:t>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décision de refus du 27 mai 2010, suite à un demande de prestation du 28 mai 2009. La loi fédérale sur la partie générale du droit des assurances sociales du 6 octobre 2000 (LPGA) est entrée en vigueur le 1er janvier 2003 et s’applique donc au cas d’espèce. Tel est également le cas des</w:t>
      </w:r>
    </w:p>
    <w:p>
      <w:r>
        <w:t>A/2193/2010 - 7/14 -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9 mars 2010, qui a été confirmé par la décision du 27 mai 2010, contre laquelle l'assuré a interjeté directement recours devant le Tribunal de céans le 27 juin 2010. c) Interjeté dans les forme et délai prévus par la loi, devant l'autorité compétente, le recours est en conséquence recevable (art. 56 ss LPGA).</w:t>
      </w:r>
    </w:p>
    <w:p>
      <w:r>
        <w:rPr>
          <w:b/>
        </w:rPr>
        <w:t>E. 3</w:t>
      </w:r>
    </w:p>
    <w:p>
      <w:r>
        <w:t>Le litige porte sur l'octroi de mesures d'ordre professionnel, singulièrement sur une aide au placement.</w:t>
      </w:r>
    </w:p>
    <w:p>
      <w:r>
        <w:rPr>
          <w:b/>
        </w:rPr>
        <w:t>E. 4</w:t>
      </w:r>
    </w:p>
    <w:p>
      <w:r>
        <w:t>a) 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w:t>
      </w:r>
    </w:p>
    <w:p>
      <w:r>
        <w:t>A/2193/2010 - 8/14 -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w:t>
      </w:r>
    </w:p>
    <w:p>
      <w:r>
        <w:t>A/2193/2010 - 9/14 -</w:t>
      </w:r>
    </w:p>
    <w:p>
      <w:r>
        <w:rPr>
          <w:b/>
        </w:rPr>
        <w:t>E. 5</w:t>
      </w:r>
    </w:p>
    <w:p>
      <w:r>
        <w:t>a) Selon l'article 17 LAI, l'assuré a droit au reclassement dans une nouvelle profession si son invalidité rend cette mesure nécessaire et que sa capacité de gain peut ainsi, selon toute vraisemblance, être maintenue ou améliorée. L'article 18 LAI prévoit que l'assuré qui présente une incapacité de travail (art. 6 LPGA) et qui est susceptible d'être réadapté a droit à un soutien actif dans la recherche d'un emploi, un conseil suivi afin de conserver un emploi. L'art. 18 al. 1 première phrase LAI, dans sa teneur selon la novelle du 21 mars 2003 ([4e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[5e révision de l'AI], en vigueur depuis le 1er janvier 2008), l'assuré présentant une incapacité de travail et susceptible d'être réadapté a droit: a. à un soutien actif dans la recherche d'un emploi approprié; b. à un conseil suivi afin de conserver un emploi. b) Contrairement au droit à une rente (art. 28 al. 1er LAI), la loi ne dit pas à partir de quel degré d’invalidité l’assuré peut prétendre des mesures de réadaptation. Le seuil minimum fixé par la jurisprudence pour ouvrir droit à une mesure de reclassement (art 17 LAI) est une diminution de la capacité de gain de l’ordre de 20% (ATF 124 V 108 consid. 2b et les références).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Le Tribunal fédéral a rappelé que la jurisprudence précitée n'a jamais fait mention de la condition d'une perte de gain de 20 % s'agissant des autres mesures d'ordre professionnel prévues par la loi, outre le reclassement (9C_385/2009 du 13 octobre 2009).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p. 81).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I 427/05 du 24 mars 2006, in SVR</w:t>
      </w:r>
    </w:p>
    <w:p>
      <w:r>
        <w:t>A/2193/2010 - 10/14 - 2006 IV Nr. 45 p. 162) et après l'entrée en vigueur de la 5e révision de l'AI (ATF 9C_ 416/2009, du 1er mars 2010).</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w:t>
      </w:r>
    </w:p>
    <w:p>
      <w:r>
        <w:t>A/2193/2010 - 11/14 - (ATF 125 V 353 consid. 3b/ee, ATFA non publié du 13 mars 2000, I 592/99, consid. b/ee).</w:t>
      </w:r>
    </w:p>
    <w:p>
      <w:r>
        <w:rPr>
          <w:b/>
        </w:rPr>
        <w:t>E. 7</w:t>
      </w:r>
    </w:p>
    <w:p>
      <w:r>
        <w:t>Dans le cas d'espèce, le Tribunal retiendra que le rapport médical du Dr P____________, auprès du SMR a pleine valeur probante au sens de la jurisprudence précitée, étant précisé que ses conclusions ne sont contredites par aucun autre avis médical. Tous les autres médecins consultés mentionnent les mêmes limitations fonctionnelles, sans se prononcer sur la capacité de travail résiduelle de l'assuré dans une profession adaptée. Il faut ainsi admettre que l'assuré était pleinement capable de travailler dans toute activité dès la fin des conséquences du 1er accident, fin avril 2001 jusqu'au 1er janvier 2007, puis pleinement capable de travailler dans une profession adaptée à ses limitations fonctionnelles dès le 1er janvier 2007, soit sans position accroupie, à genoux, sans descente ou de montée répétée d'escalier, escabeau ou échelle, pas de travail en terrain inégal, pas de marche au-delà d'un kilomètre, sans halte, pas de position statique plus d'une heure et pas de position statique debout plus de 20 minutes. Compte tenu de ce qui précède, l'assuré peut travailler, comme le relève l'OAI dans une profession non qualifiée respectant ses limitations, soit en particulier dans l'industrie légère qui permet une activité alternant les positions assise et debout. Compte tenu du fait que l'assuré n'a pas travaillé depuis 2005, il lui serait défavorable de se fonder sur le dernier revenu qu'il réalisait avant l'atteinte à la santé (3'351 fr/mois auprès de X____________), malgré une réévaluation à 2008, de sorte qu'il y a lieu de se baser sur les salaires ressortant des statistiques fédérales prise en compte par l'OAI. Le calcul effectué par l'OAI n'est pas critiquable, car l'abattement de 10% sur le revenu d’invalidité tient compte des limitations fonctionnelles de l'assuré, aucun autre critère permettant de retenir un abattement plus important n'étant réalisé. Le taux d'invalidité de l'assuré est ainsi de 10%, ce qui n'ouvre pas de droit à un reclassement, étant par ailleurs précisé que le taux de 20% est une condition nécessaire, mais n'est pas une condition suffisante pour l'octroi d'une mesure de reclassement. Reste à examiner si l'assuré est entravé par ses problèmes de santé dans la recherche d'un emploi approprié, ce qui pourrait justifier l'octroi d'une mesure d'aide au placement. Conformément à l'appréciation du médecin du SMR, l'assuré a une pleine capacité de travail dès le 1er janvier 2007, dans une activité adaptée à ses limitations fonctionnelles, soit sans position accroupie, à genoux, sans descente ou de montée répétée d'escalier, escabeau ou échelle, pas de travail en terrain inégal, pas de marche au-delà d'un kilomètre, sans faire une halte, pas de position statique plus d'une heure et pas de position statique debout plus de 20 minutes.</w:t>
      </w:r>
    </w:p>
    <w:p>
      <w:r>
        <w:t>A/2193/2010 - 12/14 - Ainsi, à partir de ce moment-là, on pouvait raisonnablement exiger de l'intimé qu'il reprenne toute activité professionnelle, quelle qu'elle soit, pour autant que les limitations fonctionnelles décrites plus haut soient respectées. Attendu que l'assuré présente depuis le 1er janvier 2007 une capacité de travail exigible de 100 % dans une activité légère adaptée à ses limitations et qu'aucun médecin n'atteste qu'il soit entravé par ses problèmes de santé dans la faculté de rechercher un emploi approprié, les conditions du droit à une aide au placement selon l'art. 18 al. 1 LAI ne sont pas remplies. Les pièces du dossier permettant d'ailleurs d'établir que les limitations fonctionnelles de l'assuré ne l'empêchent pas de faire des recherches sur Internet, se rendre au centre ville pour des entretiens d'embauche ou une inscription dans une entreprise de placement et qu'il maîtrise suffisamment la langue française pour rédiger des demandes d'emploi. Il convient à cet égard d'ajouter, d'une part, que l'assuré a déjà bénéficié d'une forme d'aide au placement dispensée par l'Office cantonal de l’emploi en septembre 2008 et, d'autre part, que ses difficultés à trouver un emploi sont, au degré de la vraisemblance prépondérante, dues à l'inadéquation entre le marché de l'emploi et son parcours professionnel. En effet, malgré une capacité de travail totale dans toute profession, sans être limité par les douleurs à son genou droit, l'assuré a irrégulièrement travaillé de 2001 à 2005 et n'a pratiquement plus travaillé depuis août 2005. En conséquence, il n'est pas nécessaire d'examiner s'il appartient à l'expert de se prononcer sur l'opportunité d'une mesure d'aide au placement, étant précisé qu'en aucun cas la mention faite par le Dr P____________ ne saurait être comprise comme un engagement de l'administration à cet égard. Est déterminant en l'espèce le fait que ce médecin a jugé utile de préciser que l'assuré était dynamique et désireux de retrouver une activité à plein temps, ce qui est positif et n'a pas à être mis en doute par le Tribunal de céans. Il ressort toutefois des dispositions légales applicables qu'une aide au placement, si elle est utile, ne relève pas de l'assurance invalidité, mais, le cas échéant, de l'assurance chômage auprès de laquelle l'assuré est d'ailleurs inscrit.</w:t>
      </w:r>
    </w:p>
    <w:p>
      <w:r>
        <w:rPr>
          <w:b/>
        </w:rPr>
        <w:t>E. 8</w:t>
      </w:r>
    </w:p>
    <w:p>
      <w:r>
        <w:t>a) Au vu de ce qui précède, le recours est mal fondé et il doit 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A/2193/2010 - 13/14 - Un émolument de 200 fr. sera ainsi mis à la charge du recourant qui succombe (art. 69 al. 1bis LAI).</w:t>
      </w:r>
    </w:p>
    <w:p>
      <w:r>
        <w:t>A/2193/2010 - 14/14 -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