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ATAS/907/2008 vom 19. August 2008</w:t>
      </w:r>
    </w:p>
    <w:p>
      <w:r>
        <w:t>GE Cour de justice, 2008-08-19, FR</w:t>
      </w:r>
    </w:p>
    <w:p>
      <w:r>
        <w:rPr>
          <w:b/>
        </w:rPr>
        <w:t xml:space="preserve">Quelle: </w:t>
      </w:r>
      <w:r>
        <w:t>https://mcp.opencaselaw.ch/entscheid/ge_gerichte_ATAS_907_2008</w:t>
      </w:r>
    </w:p>
    <w:p>
      <w:r>
        <w:t>FR: GE_GERICHTE ATAS/907/2008 du 19 août 2008</w:t>
      </w:r>
    </w:p>
    <w:p>
      <w:r>
        <w:t>IT: GE_GERICHTE ATAS/907/2008 del 19 agosto 2008</w:t>
      </w:r>
    </w:p>
    <w:p>
      <w:pPr>
        <w:pStyle w:val="Heading2"/>
      </w:pPr>
      <w:r>
        <w:t>Erwägungen</w:t>
      </w:r>
    </w:p>
    <w:p>
      <w:r>
        <w:rPr>
          <w:b/>
        </w:rPr>
        <w:t>E. 1</w:t>
      </w:r>
    </w:p>
    <w:p>
      <w:r>
        <w:t>L’art. 25a de la loi fédérale sur le libre passage dans la prévoyance professionnelle, vieillesse, survivants et invalidité du 17 décembre 1993 (ci-après : LFLP), entré en vigueur le 1er janvier 2000, règle la procédure en cas de divorce. Lorsque les conjoints ne sont pas d’accord sur la prestation de sortie à partager (art. 122 et 123 du Code civil suisse du 10 décembre 1907 ci-après: CC), le juge du lieu du divorce compétent au sens de l’art. 73 al. 1 de la loi fédérale sur la prévoyance professionnelle du 25 juin 1982 (ci-après: LPP), soit à Genève le Tribunal cantonal des assurances sociales depuis le l août 2003, doit, après que l’affaire lui a été transmise (art. 142 CC), exécuter d’office le partage sur la base de la clé de répartition déterminée par le juge du divorce.</w:t>
      </w:r>
    </w:p>
    <w:p>
      <w:r>
        <w:rPr>
          <w:b/>
        </w:rPr>
        <w:t>E. 2</w:t>
      </w:r>
    </w:p>
    <w:p>
      <w:r>
        <w:t>Selon l’art. 22 de la Loi fédérale du 17 décembre 1993 sur le libre passage dans la prévoyance professionnelle vieillesse, survivants et invalidité (ci-après :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A/3695/2007 4/5</w:t>
      </w:r>
    </w:p>
    <w:p>
      <w:r>
        <w:rPr>
          <w:b/>
        </w:rPr>
        <w:t>E. 3</w:t>
      </w:r>
    </w:p>
    <w:p>
      <w:r>
        <w:t>En l’espèce, le Tribunal de première instance a donné acte aux parties de ce qu’elles se partagent par moitié les prestations de sortie de leurs institutions de prévoyance. Les dates pertinentes sont, d’une part, celle du mariage, le 24 juin 1999, d’autre part, le 27 septembre 2007, date à laquelle le jugement de divorce est devenu exécutoire.</w:t>
      </w:r>
    </w:p>
    <w:p>
      <w:r>
        <w:rPr>
          <w:b/>
        </w:rPr>
        <w:t>E. 4</w:t>
      </w:r>
    </w:p>
    <w:p>
      <w:r>
        <w:t>Selon les documents produits, la prestation acquise pendant le mariage par le demandeur est de 5'814 fr. 05, tandis que celle acquise par la demanderesse est de 12'635 fr. 45, les intérêts ayant déjà été calculés par les institutions de prévoyance défenderesses. Ainsi, le demandeur doit à son ex-épouse le montant de 2'907 fr. 05 (5'814 fr. 05 : 2) et celle-ci doit à celui-là le montant de 6'317 fr. 70 (12'635 fr. 45 : 2), de sorte que c'est la demanderesse qui doit au demandeur le montant de 3'410 fr. 65.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 (ci-après : OPP 2) ou selon le taux réglementaire, si celui-ci est supérieur (ATF 129 V 255 consid. 3).</w:t>
      </w:r>
    </w:p>
    <w:p>
      <w:r>
        <w:rPr>
          <w:b/>
        </w:rPr>
        <w:t>E. 6</w:t>
      </w:r>
    </w:p>
    <w:p>
      <w:r>
        <w:t>Aucun émolument ne sera perçu, la procédure étant gratuite (art. 73 al. 2 LPP et 89H al. 1 de la loi genevoise sur la procédure administrative du 12 septembre 1985).</w:t>
      </w:r>
    </w:p>
    <w:p>
      <w:r>
        <w:t>***</w:t>
      </w:r>
    </w:p>
    <w:p>
      <w:r>
        <w:t>A/3695/2007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