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ATAS/905/2023 vom 23. November 2023</w:t>
      </w:r>
    </w:p>
    <w:p>
      <w:r>
        <w:t>GE Cour de justice, 2023-11-23, FR</w:t>
      </w:r>
    </w:p>
    <w:p>
      <w:r>
        <w:rPr>
          <w:b/>
        </w:rPr>
        <w:t xml:space="preserve">Quelle: </w:t>
      </w:r>
      <w:r>
        <w:t>https://mcp.opencaselaw.ch/entscheid/ge_gerichte_ATAS_905_2023</w:t>
      </w:r>
    </w:p>
    <w:p>
      <w:r>
        <w:t>FR: GE_GERICHTE ATAS/905/2023 du 23 novembre 2023</w:t>
      </w:r>
    </w:p>
    <w:p>
      <w:r>
        <w:t>IT: GE_GERICHTE ATAS/905/2023 del 23 novembre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règlement sur l’assurance-invalidité du 17 janvier 1961 (RAI - RS 831.201) dans leur version valable jusqu'au 31 décembre 2021 sont applicables. Si la modification déterminante est intervenue après cette date, les dispositions de la LAI et du RAI dans leur version en vigueur</w:t>
      </w:r>
    </w:p>
    <w:p>
      <w:r>
        <w:t>A/488/2022 - 14/25 - à partir du 1er janvier 2022 sont applicables. La date pertinente de la modification est déterminée par l'art. 88a RAI (arrêts du Tribunal fédéral 8C_55/2023 du 11 juillet 2023 consid. 2.2 ; 8C_644/2022 du 8 février 2023 consid. 2.2.3). La réglementation légale concernant la révision et le réexamen de décisions ou de décisions sur opposition entrées en force (art. 53 LPGA) n'a pas été modifiée dans le cadre du développement de l'AI susmentionné, raison pour laquelle aucune question de droit intertemporel ne se pose à cet égard (cf. arrêt du Tribunal fédéral 8C_644/2022 précité consid. 2.2.2). En l’occurrence, la décision litigieuse a certes été rendue après le 1er janvier 2022. Toutefois, il n’est pas contesté que la modification de circonstances litigieuses invoquée par la recourante à l’appui de sa nouvelle demande de rente est supposée remonter à avant cette date. Par conséquent, les dispositions applicables seront citées dans leur teneur en vigueur jusqu’au 31 décembre 2021.</w:t>
      </w:r>
    </w:p>
    <w:p>
      <w:r>
        <w:rPr>
          <w:b/>
        </w:rPr>
        <w:t>E. 5</w:t>
      </w:r>
    </w:p>
    <w:p>
      <w:r>
        <w:t>Interjeté dans les forme et délai prévus par la loi, le recours est recevable (art. 56ss LPGA ; art. 62 al. 1 de la loi sur la procédure administrative du 12 septembre 1985 [LPA - E 5 10]).</w:t>
      </w:r>
    </w:p>
    <w:p>
      <w:r>
        <w:rPr>
          <w:b/>
        </w:rPr>
        <w:t>E. 6</w:t>
      </w:r>
    </w:p>
    <w:p>
      <w:r>
        <w:t>Le litige porte sur le bien-fondé de la décision de l’intimé du 13 janvier 2022 de rejeter la nouvelle demande de prestations déposée par la recourante en juin 2020. En d’autres termes, il convient de vérifier si, comme le retient l’intimé, l’état de santé de l’assurée ne s’est pas péjoré au point de lui ouvrir droit à des prestations depuis le 14 octobre 2014, date à laquelle sa capacité de gain avait été examinée pour la dernière fois.</w:t>
      </w:r>
    </w:p>
    <w:p>
      <w:r>
        <w:rPr>
          <w:b/>
        </w:rPr>
        <w:t>E. 7.1</w:t>
      </w:r>
    </w:p>
    <w:p>
      <w:r>
        <w:t>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et les références ; ATF 130 V 343 consid. 3.5.2 et les références ; ATF 130 V 71 consid. 3.2 et les références ; cf. arrêt du Tribunal fédéral 9C_899/2015 du 4 mars 2016 consid. 4.1 et les références).</w:t>
      </w:r>
    </w:p>
    <w:p>
      <w:r>
        <w:rPr>
          <w:b/>
        </w:rPr>
        <w:t>E. 7.2</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rPr>
          <w:b/>
        </w:rPr>
        <w:t>E. 7.3</w:t>
      </w:r>
    </w:p>
    <w:p>
      <w:r>
        <w:t>Tout changement important des circonstances propres à influencer le degré d’invalidité, et donc le droit à la rente, peut motiver une révision selon l’art. 17 LPGA. La rente peut être révisée non seulement en cas de modification</w:t>
      </w:r>
    </w:p>
    <w:p>
      <w:r>
        <w:t>A/488/2022 - 15/25 -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w:t>
      </w:r>
    </w:p>
    <w:p>
      <w:r>
        <w:rPr>
          <w:b/>
        </w:rPr>
        <w:t>E. 7.4</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8.1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8.2</w:t>
      </w:r>
    </w:p>
    <w:p>
      <w:r>
        <w:t>L’assuré a droit à une rente entière s’il est invalide à 70% au moins, à un trois quarts de rente s'il est invalide à 60 % au moins, à une demi-rente s’il est invalide à 50% au moins, ou à un quart de rente s’il est invalide à 40% au moins (art. 28 al. 2 LAI).</w:t>
      </w:r>
    </w:p>
    <w:p>
      <w:r>
        <w:t>A/488/2022 - 16/25 -</w:t>
      </w:r>
    </w:p>
    <w:p>
      <w:r>
        <w:rPr>
          <w:b/>
        </w:rPr>
        <w:t>E. 8.3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8.4</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 sicherung, 1997, p. 8).</w:t>
      </w:r>
    </w:p>
    <w:p>
      <w:r>
        <w:rPr>
          <w:b/>
        </w:rPr>
        <w:t>E. 9.1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w:t>
      </w:r>
    </w:p>
    <w:p>
      <w:r>
        <w:rPr>
          <w:b/>
        </w:rPr>
        <w:t>E. 9.2</w:t>
      </w:r>
    </w:p>
    <w:p>
      <w:r>
        <w:t>La reconnaissance de l’existence d’une atteinte à la santé psychique suppose la présence d’un diagnostic émanant d’un expert (psychiatre) et s’appuyant selon les règles de l’art sur les critères d’un système de classification reconnu, telle la CIM ou le DSM-IV (Diagnostic and Statistical Manual) (ATF 143 V 409 consid. 4.5.2 ; ATF 141 V 281 consid. 2.1 et 2.1.1 ; ATF 130 V 396 consid. 5.3 et 6).</w:t>
      </w:r>
    </w:p>
    <w:p>
      <w:r>
        <w:rPr>
          <w:b/>
        </w:rPr>
        <w:t>E. 9.3</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w:t>
      </w:r>
    </w:p>
    <w:p>
      <w:r>
        <w:t>A/488/2022 - 17/25 -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w:t>
      </w:r>
    </w:p>
    <w:p>
      <w:r>
        <w:rPr>
          <w:b/>
        </w:rPr>
        <w:t>E. 9.4</w:t>
      </w:r>
    </w:p>
    <w:p>
      <w:r>
        <w:t>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9.5</w:t>
      </w:r>
    </w:p>
    <w:p>
      <w:r>
        <w:t>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9.6</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w:t>
      </w:r>
    </w:p>
    <w:p>
      <w:r>
        <w:t>A/488/2022 - 18/25 -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9.7</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9.8</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9.9</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w:t>
      </w:r>
    </w:p>
    <w:p>
      <w:r>
        <w:t>A/488/2022 - 19/25 - et 8 LPGA (arrêt du Tribunal fédéral 9C_369/2019 du 17 mars 2020 consid. 5.3 et les références).</w:t>
      </w:r>
    </w:p>
    <w:p>
      <w:r>
        <w:rPr>
          <w:b/>
        </w:rPr>
        <w:t>E. 10.1</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rPr>
          <w:b/>
        </w:rPr>
        <w:t>E. 10.2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10.3</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w:t>
      </w:r>
    </w:p>
    <w:p>
      <w:r>
        <w:t>A/488/2022 - 20/25 -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11.3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w:t>
      </w:r>
    </w:p>
    <w:p>
      <w:r>
        <w:t>A/488/2022 - 21/25 - du 19 mars 2004 consid. 3.3). Lorsque le juge des assurances sociales constate qu'une instruction est nécessaire, il doit en principe mettre lui-même en œuvre une expertise s’il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12</w:t>
      </w:r>
    </w:p>
    <w:p>
      <w:r>
        <w:t>En l’espèce, l’intimé, se fondant sur l’expertise pluridisciplinaire du J______, a considéré qu’aucune aggravation de l’état de santé ayant des conséquences en termes de capacité de gain n’a pu être mise en évidence depuis la décision du 14 octobre 2014. La recourante met en doute la valeur probante de ladite expertise et considère que l’aggravation de son état psychique et physique (arthrose acromio-claviculaire de l’épaule gauche, discopathies et insuffisance veineuse des membres inférieurs) a eu des conséquences sur sa capacité de travail et devrait lui ouvrir droit à une demi-rente d’invalidité au moins, voire à des mesures de réadaptation. À l’appui de sa position, elle invoque les avis de ses médecins traitants. Il convient donc d’examiner en premier lieu la valeur probante qu’il convient d’accorder à l’expertise du J______. Le rapport des experts apparaît très détaillé, fourni et argumenté. Il se fonde sur une anamnèse détaillée, plusieurs examens cliniques de la recourante et se fait le relais des plaintes émises par celle-ci. Il a également été établi en pleine connaissance du dossier. A cet égard, on relèvera qu’à l’évidence, le fait que l’expert ait pensé – à tort – que le psychiatre traitant était une femme et non un homme et ait confondu ses nom et prénom ne saurait porter à conséquence. De même, le fait que l’expert-psychiatre ait indiqué que le couple de la recourante avait résisté longtemps avant que les protagonistes ne se séparent n’est pas pertinent. On ne saurait, comme le fait le psychologue, tirer la conclusion de la seule séparation du couple que l’aggravation de l’état psychique de l’assurée n’a pu que se dégrader. En substance, il ressort de l’évaluation consensuelle des experts que, du point de vue psychiatrique, l’examen clinique, l’anamnèse et le descriptif de la journée de la personne assurée ne permettent pas de retenir le diagnostic d’épisode dépressif, quel qu’en soit l’intensité, mais un trouble dysthymique ayant vraisemblablement fait suite au trouble dépressif récurrent dans le passé, sans influence sur la capacité de travail. On notera à cet égard que ce n’est donc pas le SMR qui « interprète » le rapport en ce sens que la dysthymie a succédé au trouble dépressif, mais bien les experts qui s’expriment en ce sens.</w:t>
      </w:r>
    </w:p>
    <w:p>
      <w:r>
        <w:t>A/488/2022 - 22/25 - Du point de vue orthopédique, lors de l’examen, il a est vrai qu’ont été retrouvées des rachialgies chroniques avec troubles dégénératifs mises en évidence sur les clichés radiologiques au niveau de C3 et C4, ainsi qu’une arthrose acromio-claviculaire de l’épaule gauche. Les experts ont donc admis cette aggravation et le fait qu’elle ait des conséquences sur la capacité de travail de l’intéressée. Ils en ont donc tenu compte dans leur appréciation. Cela étant, ils n’en ont pas moins estimé que, d’un point de vue rhumatologique, si l’assurée est certes totalement incapable d’exercer l’activité de femme de chambre, elle restait apte à travailler à plein temps comme serveuse-gérante d’une boulangerie tea-room, travail qui respecte les limitations fonctionnelles, à savoir éviter de porter des charges de plus de 5 kg, de monter et descendre des échafaudages et des échelles et de surcharger le rachis dans sa totalité. À ce propos les experts ont rappelé que l’assurée avait bénéficié d’une infiltration de l’épaule gauche avec un examen tout à fait satisfaisant, tant au niveau des amplitudes, qu’au niveau du testing de la coiffe. Du point de vue de la médecine interne, un syndrome oral d’allergie alimentaire aux fruits et une insuffisance veineuse des membres inférieurs, ainsi qu’une vessie hyperactive ont été mentionnés, dont il a été indiqué qu’ils influençaient le profil d’effort et dont il a également été tenu compte par les experts en termes de limitations fonctionnelles. Du point de vue psychiatrique, il a été indiqué qu’on ne retrouvait à l’examen, ni ralentissement psychomoteur, ni humeur dépressive constante, ni troubles de la concentration ou de l’attention, ni fatigabilité. Aucun fléchissement de la concentration n’a été constatée. Durant la majeure partie de l’examen, l’humeur a été neutre. L’assurée n’avait pas non plus montré de symptômes physiques observables en faveur d’un état anxieux. Elle a d’ailleurs expliqué que ses limitations fonctionnelles étaient en lien avec ses douleurs. Il a été rappelé qu’un épisode dépressif moyen s’accompagne habituellement de difficultés importantes à mener à bien les activités professionnelles, sociales ou ménagères. Or, l’assurée s’occupe de son ménage – hormis les tâches lourdes – en même temps que de son commerce, même si c’est partiellement. Elle fait face à toutes les activités de la vie quotidienne en dehors de certaines tâches pour lesquelles elle est limitée par des phénomènes douloureux. Elle se distrait, se promène une heure tous les jours et est bien entourée. L’expert a conclu à une dépression chronique de l’humeur, variable en fonction des événements et dépendant des situations existentielles, n’entraînant pas de difficultés importantes à mener à bien les activités professionnelles, sociales ou ménagères. Les troubles ont été jugés de sévérité insuffisante pour poser le diagnostic d’épisode dépressif de moyenne intensité ou d’intensité sévère. Les critères constitutifs d’un épisode dépressif moyen n’ont pas été retrouvés. Ce sont tous ces éléments qui ont conduit l’expert à poser le diagnostic de trouble dysthymique n’ayant pas d’influence sur la capacité de travail.</w:t>
      </w:r>
    </w:p>
    <w:p>
      <w:r>
        <w:t>A/488/2022 - 23/25 - Les critères jurisprudentiels de gravité n’ont pas été confirmés. Il a été noté que les dosages prescrits d’antidépresseurs avaient donné un taux en dessous du milieu thérapeutique. Sur le plan de la personnalité, il n’y avait pas trace de troubles spécifiques, mais une simple accentuation de traits de personnalité, sans effet sur la capacité de travail. Sur le plan social, en dehors d’un conflit de couple vieux de plus de vingt ans et n’ayant abouti à une séparation qu’en avril 2021, l’assurée vivait avec deux garçons majeurs présents à la maison tous les jours. Sur le plan de la cohérence, une discordance a été relevée entre les plaintes de l’assurée et le fait qu’elle se rend tous les jours dans sa boulangerie et s’acquitte de quasiment toutes les tâches ménagères ; ses troubles ne l’empêchent pas non plus de se distraire. Elle dispose donc de ressources internes importantes, puisqu’elle est capable de gérer la boulangerie, même si c’est à temps partiel, de faire face à toutes les activités de la vie quotidienne – en dehors de celles qui nécessitent une mobilisation de ses membre supérieurs – et de ressources externes, puisque ses deux garçons vivent avec elle et peuvent l’aider quand elle le demande. Elle dispose également de l’aide de son frère, ainsi que de la sollicitude de ses frères et sœurs vivant au Portugal et qui l’appellent régulièrement. Elle est aussi soutenue par deux ou trois amis avec qui elle est en contact régulier. Ont finalement été retenus à titre de diagnostics invalidants : des rachialgies chroniques avec troubles dégénératifs en C3-C4, une arthrose acromio-claviculaire de l’épaule gauche, des douleurs cervico-lombaires mécaniques, un status post-cervicobrachialgie C4-C5 sur ébauche de hernie discale C3-C4, une insuffisance veineuse des membres inférieurs, une vessie hyperactive, un syndrome oral d’allergie alimentaire. Ont été mentionnés à titre de diagnostics non invalidants : une dysthymie, un trouble dépressif récurrent en rémission, un syndrome du canal carpien droit, un début de doigt à ressaut des quatrième et cinquième doigts de la main droite, une fibromyalgie, un syndrome de dysbalance musculaire avec déconditionnement, des palpitations, des sensations vertigineuses, des acouphènes, des céphalées de tension, une insomnie, des épigastralgies chroniques, une intolérance au gluten, une intolérance au lactose, etc. Cela étant, il a été indiqué que, d’un point de vue interdisciplinaire, le degré global d’atteinte à la santé tenant compte du profil d’effort devait être considéré comme léger. Un comportement d’amplification de la maladie a été constaté. En revanche, la capacité relationnelle et l’aptitude à nouer des contacts, tout comme la gestion de l’affect et la faculté à contrôler les impulsions, l’estime de soi, la capacité de régression, l’intentionnalité et le dynamisme ont été qualifiés de « non altérés ». Les experts ont expliqué que, depuis octobre 2014, il y a eu, d’un point de vue orthopédique, une évolution, avec l’apparition du syndrome du canal carpien en novembre 2020 et le début du doigt à ressaut. En revanche il n’y a pas eu d’évolution du point de vue psychiatrique, rhumatologique, ou de la médecine</w:t>
      </w:r>
    </w:p>
    <w:p>
      <w:r>
        <w:t>A/488/2022 - 24/25 - interne. Cela étant, ils ont considéré que, dans une activité adaptée telle que celle exercée par la recourante, il n’en découlait pas de diminution de la capacité de gain. Force est de constater avec l’intimé que la motivation de la recourante consiste essentiellement à souligner la divergence d’opinions entre les experts et son psychiatre-traitant quant à l’évaluation de sa capacité de travail. Aucun élément objectivement vérifiable de nature clinique ou diagnostique qui aurait été ignoré et suffisamment pertinent pour remettre en cause le bien-fondé des conclusions des experts ou conclure au caractère incomplet de leur rapport n’a cependant été apporté. En définitive, c’est dès lors à juste titre que l’intimé, sur la base de cette expertise pluridisciplinaire, a conclu que l’état de l’assurée, malgré une aggravation, permet toujours une capacité de travail de 80% dans une activité adaptée aux limitations fonctionnelles, c’est-à-dire permettant l’épargne du dos et de l’épaule gauche. Eu égard à ces considérations, le recours est rejeté.</w:t>
      </w:r>
    </w:p>
    <w:p>
      <w:r>
        <w:t>A/488/2022 - 25/25 -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