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ATAS/905/2021 vom 7. September 2021</w:t>
      </w:r>
    </w:p>
    <w:p>
      <w:r>
        <w:t>GE Cour de justice, 2021-09-07, FR</w:t>
      </w:r>
    </w:p>
    <w:p>
      <w:r>
        <w:rPr>
          <w:b/>
        </w:rPr>
        <w:t xml:space="preserve">Quelle: </w:t>
      </w:r>
      <w:r>
        <w:t>https://mcp.opencaselaw.ch/entscheid/ge_gerichte_ATAS_905_2021</w:t>
      </w:r>
    </w:p>
    <w:p>
      <w:r>
        <w:t>FR: GE_GERICHTE ATAS/905/2021 du 7 septembre 2021</w:t>
      </w:r>
    </w:p>
    <w:p>
      <w:r>
        <w:t>IT: GE_GERICHTE ATAS/905/2021 del 7 settembre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t>- 6/13-</w:t>
      </w:r>
    </w:p>
    <w:p>
      <w:r>
        <w:t>A/425/2020</w:t>
      </w:r>
    </w:p>
    <w:p>
      <w:r>
        <w:rPr>
          <w:b/>
        </w:rPr>
        <w:t>E. 3</w:t>
      </w:r>
    </w:p>
    <w:p>
      <w:r>
        <w:t>Interjeté dans la forme et le délai prévus par la loi, le recours est recevable (art. 56 LPGA ; art. 62 al. 1 de la loi sur la procédure administrative du 12 septembre 1985 [LPA - E 5 10]).</w:t>
      </w:r>
    </w:p>
    <w:p>
      <w:r>
        <w:rPr>
          <w:b/>
        </w:rPr>
        <w:t>E. 4</w:t>
      </w:r>
    </w:p>
    <w:p>
      <w:r>
        <w:t>Le litige porte sur le droit de la recourante à des prestations de l’assurance-accidents au-delà du 30 avril 2017.</w:t>
      </w:r>
    </w:p>
    <w:p>
      <w:r>
        <w:rPr>
          <w:b/>
        </w:rPr>
        <w:t>E. 4.1</w:t>
      </w:r>
    </w:p>
    <w:p>
      <w:r>
        <w:t>Avec répercussion sur la capacité de travail ;</w:t>
      </w:r>
    </w:p>
    <w:p>
      <w:r>
        <w:rPr>
          <w:b/>
        </w:rPr>
        <w:t>E. 4.1.1</w:t>
      </w:r>
    </w:p>
    <w:p>
      <w:r>
        <w:t>Dates d’apparition ;</w:t>
      </w:r>
    </w:p>
    <w:p>
      <w:r>
        <w:rPr>
          <w:b/>
        </w:rPr>
        <w:t>E. 4.2</w:t>
      </w:r>
    </w:p>
    <w:p>
      <w:r>
        <w:t>Sans répercussion sur la capacité de travail ;</w:t>
      </w:r>
    </w:p>
    <w:p>
      <w:r>
        <w:rPr>
          <w:b/>
        </w:rPr>
        <w:t>E. 4.2.1</w:t>
      </w:r>
    </w:p>
    <w:p>
      <w:r>
        <w:t>Dates d’apparition ;</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w:t>
      </w:r>
    </w:p>
    <w:p>
      <w:r>
        <w:t>a. En vertu de l’art. 6 de la loi fédérale du 20 mars 1981 sur l’assurance-accidents (LAA ; RS 832.20), si la présente loi n’en dispose pas autrement, les prestations d’assurance sont allouées en cas d’accident professionnel, d’accident non professionnel et de maladie professionnelle. Selon l’art. 4 de la loi fédérale du</w:t>
      </w:r>
    </w:p>
    <w:p>
      <w:r>
        <w:rPr>
          <w:b/>
        </w:rPr>
        <w:t>E. 5.1</w:t>
      </w:r>
    </w:p>
    <w:p>
      <w:r>
        <w:t>Les atteintes constatées sont-elles dans un rapport de causalité avec l’accident du 18 janvier 2017 ou un autre accident préalable qui serait survenu au mois d’octobre 2016 (date précise à déterminer) ? Ce lien de</w:t>
      </w:r>
    </w:p>
    <w:p>
      <w:r>
        <w:t>- 11/13-</w:t>
      </w:r>
    </w:p>
    <w:p>
      <w:r>
        <w:t>A/425/2020 causalité est-il seulement possible (probabilité de moins de 50 %), probable (probabilité de plus de 50 %) ou certain (probabilité de 100 %) ?</w:t>
      </w:r>
    </w:p>
    <w:p>
      <w:r>
        <w:rPr>
          <w:b/>
        </w:rPr>
        <w:t>E. 5.1.1</w:t>
      </w:r>
    </w:p>
    <w:p>
      <w:r>
        <w:t>Veuillez motiver votre réponse pour chaque diagnostic posé et chaque accident.</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le cas échéant,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Est litigieuse, en l’espèce, la question de savoir s’il existe une relation de causalité entre l’événement de 18 janvier 2017, voir l’événement du mois d’octobre 2016, et les lésions au genou droit dont souffre la recourante. En vue d’établir une telle relation, l’assurée se prévaut de l’avis du Dr E______ alors que l’intimée se fonde sur le rapport du Dr F______.</w:t>
      </w:r>
    </w:p>
    <w:p>
      <w:r>
        <w:rPr>
          <w:b/>
        </w:rPr>
        <w:t>E. 6.1</w:t>
      </w:r>
    </w:p>
    <w:p>
      <w:r>
        <w:t>Indiquer les limitations fonctionnelles en relation avec chaque diagnostic.</w:t>
      </w:r>
    </w:p>
    <w:p>
      <w:r>
        <w:rPr>
          <w:b/>
        </w:rPr>
        <w:t>E. 6.1.1</w:t>
      </w:r>
    </w:p>
    <w:p>
      <w:r>
        <w:t>Dates d’apparition ; 7. Capacité de travail</w:t>
      </w:r>
    </w:p>
    <w:p>
      <w:r>
        <w:rPr>
          <w:b/>
        </w:rPr>
        <w:t>E. 7</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Il doit procéder à des investigations supplémentaires ou en ordonner lorsqu’il y a</w:t>
      </w:r>
    </w:p>
    <w:p>
      <w:r>
        <w:t>- 9/13-</w:t>
      </w:r>
    </w:p>
    <w:p>
      <w:r>
        <w:t>A/425/2020 suffisamment de raisons pour le faire, eu égard aux griefs invoqués par les parties ou aux indices résultant du dossier. En particulier, il doit mettre en œuvre une expertise lorsqu’il apparaît nécessaire de clarifier les aspects médicaux du cas (ATF 117 V 282 consid. 4a ; RAMA 1985 p. 240 consid. 4 ; arrêt du Tribunal fédéral des assurances I 751/03 du 19 mars 2004 consid. 3.3).</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jusqu’au 31 juillet 2019 ? (Distinguer le taux d’activité possible du rendement).</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rPr>
          <w:b/>
        </w:rPr>
        <w:t>E. 7.2.1</w:t>
      </w:r>
    </w:p>
    <w:p>
      <w:r>
        <w:t>Si cette capacité de travail est seulement partielle, quelles sont les limitations fonctionnelles qui entrent en ligne de compte ? Depuis quelle date sont-elles présentes ? 8. Traitement</w:t>
      </w:r>
    </w:p>
    <w:p>
      <w:r>
        <w:t>- 12/13-</w:t>
      </w:r>
    </w:p>
    <w:p>
      <w:r>
        <w:t>A/425/2020</w:t>
      </w:r>
    </w:p>
    <w:p>
      <w:r>
        <w:rPr>
          <w:b/>
        </w:rPr>
        <w:t>E. 8</w:t>
      </w:r>
    </w:p>
    <w:p>
      <w:r>
        <w:t>En l’espèce les parties se fondent chacune sur des avis médicaux contradictoires. Alors que le Dr F______ voit sur les radiographies des genoux face, profil et axiale des rotules du 6 mars 2019 une désaxation rotulienne externe au niveau des deux genoux, une dyspasie rotulienne de type Wiberg 3 et des ostéophytes sur les condyles fémoro-internes, le Dr E______ ni décèle pas de signe de dysplasie fémoro-patellaire, en particulier pas de subluxation ni d’ostéophyte significatif, la forme de la rotule sur les axiales correspondant à un Wiberg 1. Selon ce médecin, la rotule a un aspect normal. Il indique qu’en peropératoire, ni la rotule ni la trochlée ne présentaient un aspect dysplasique. Les lésions cartilagineuses à l’emporte-pièces ne correspondent pas, selon lui, à des lésions d’usure mais plutôt post-traumatiques comme le mécanisme accidentel de départ peut l’expliquer. Tout au plus pouvait-on voir, selon ce praticien, ce type de lésions dans des luxations traumatiques de la rotule, mais en général elles étaient localisées sur le condyle externe du fémur et la patiente n’avait dans ce cas pas fait de luxation de rotule. Ainsi tant la lecture des images au dossier, le diagnostic que l’origine des lésions posés par le Dr F______ sont mises en doute par le Dr E______. Eu égard à ce qui précède et aux avis divergents exprimés dans ce dossier, la chambre de céans n’est pas en mesure de trancher le litige et de déterminer si, comme le soutient l’intimée, l’événement accidentel n’a fait qu’engendrer une aggravation temporaire d’un état dégénératif préexistant.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Appréciation des avis médicaux figurant au dossier.</w:t>
      </w:r>
    </w:p>
    <w:p>
      <w:r>
        <w:rPr>
          <w:b/>
        </w:rPr>
        <w:t>E. 9</w:t>
      </w:r>
    </w:p>
    <w:p>
      <w:r>
        <w:t>Dans ces conditions, il se justifie de mettre en œuvre une expertise judiciaire orthopédique et traumatologique, laquelle sera confiée au professeur G______, spécialiste en traumatologie au CHUV, les parties n’ayant pas invoqué de cause de récusation.</w:t>
      </w:r>
    </w:p>
    <w:p>
      <w:r>
        <w:rPr>
          <w:b/>
        </w:rPr>
        <w:t>E. 9.1</w:t>
      </w:r>
    </w:p>
    <w:p>
      <w:r>
        <w:t>Êtes-vous d’accord avec l’avis du Dr F______ ? En particulier, avec les diagnostics posés (lésions dégénératives et non d’origine traumatique), la date du statu quo sine retenu et l’estimation d’une pleine capacité de travail de la personne expertisée ? Si non, pourquoi ?</w:t>
      </w:r>
    </w:p>
    <w:p>
      <w:r>
        <w:rPr>
          <w:b/>
        </w:rPr>
        <w:t>E. 9.2</w:t>
      </w:r>
    </w:p>
    <w:p>
      <w:r>
        <w:t>Êtes-vous d’accord avec l’avis du Dr E______ ? En particulier avec les diagnostics posés (lésions d’origine traumatique) et l’incapacité de travail de la personne expertisée du 15 avril 2019 au 31 juillet 2019 en lien avec l’accident d’octobre 2016 ou celui du 18 janvier 2017 ? Si non, pourquoi ?</w:t>
      </w:r>
    </w:p>
    <w:p>
      <w:r>
        <w:rPr>
          <w:b/>
        </w:rPr>
        <w:t>E. 10</w:t>
      </w:r>
    </w:p>
    <w:p>
      <w:r>
        <w:t>Suite à l’accident du 18 janvier 2017 :</w:t>
      </w:r>
    </w:p>
    <w:p>
      <w:r>
        <w:t>a. Les lésions apparues sont-elles graves ?</w:t>
      </w:r>
    </w:p>
    <w:p>
      <w:r>
        <w:t>b. Ces lésions ont-elles nécessité des traitements continus spécifiques et lourds ? Si oui, lesquels ? Pendant quel intervalle de temps ? c. Existe-t-il des douleurs physiques persistantes ? Depuis quand ? Atteignent-elles une intensité particulière ?</w:t>
      </w:r>
    </w:p>
    <w:p>
      <w:r>
        <w:rPr>
          <w:b/>
        </w:rPr>
        <w:t>E. 11</w:t>
      </w:r>
    </w:p>
    <w:p>
      <w:r>
        <w:t>Quel est le pronostic ?</w:t>
      </w:r>
    </w:p>
    <w:p>
      <w:r>
        <w:rPr>
          <w:b/>
        </w:rPr>
        <w:t>E. 12</w:t>
      </w:r>
    </w:p>
    <w:p>
      <w:r>
        <w:t>Faire toutes autres observations ou suggestions utiles. E. Invite l’expert à déposer son rapport en trois exemplaires dans les meilleurs délais auprès de la chambre de céans. F. Réserve le fond.</w:t>
      </w:r>
    </w:p>
    <w:p>
      <w:r>
        <w:t>- 13/13-</w:t>
      </w:r>
    </w:p>
    <w:p>
      <w:r>
        <w:t>A/425/2020 La greffière</w:t>
      </w:r>
    </w:p>
    <w:p>
      <w:r>
        <w:t>Marie NIERMARÉCHAL</w:t>
      </w:r>
    </w:p>
    <w:p>
      <w:r>
        <w:t>La présidente</w:t>
      </w:r>
    </w:p>
    <w:p>
      <w:r>
        <w:t>Marine WYSSENBACH</w:t>
      </w:r>
    </w:p>
    <w:p>
      <w:r>
        <w:t>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