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ATAS/905/2019 vom 30. September 2019</w:t>
      </w:r>
    </w:p>
    <w:p>
      <w:r>
        <w:t>GE Cour de justice, 2019-09-30, FR</w:t>
      </w:r>
    </w:p>
    <w:p>
      <w:r>
        <w:rPr>
          <w:b/>
        </w:rPr>
        <w:t xml:space="preserve">Quelle: </w:t>
      </w:r>
      <w:r>
        <w:t>https://mcp.opencaselaw.ch/entscheid/ge_gerichte_ATAS_905_2019</w:t>
      </w:r>
    </w:p>
    <w:p>
      <w:r>
        <w:t>FR: GE_GERICHTE ATAS/905/2019 du 30 septembre 2019</w:t>
      </w:r>
    </w:p>
    <w:p>
      <w:r>
        <w:t>IT: GE_GERICHTE ATAS/905/2019 del 30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A/4358/2018 - 9/12 -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refus de l’intimé de reconsidérer la décision d’indemnités journalières du 29 avril 2009 au 27 janvier 2010, allouant à la recourante une indemnité journalière de CHF 130.40 du 30 mars au 28 juin 2009 et du 25 janvier au 25 avril 2010.</w:t>
      </w:r>
    </w:p>
    <w:p>
      <w:r>
        <w:rPr>
          <w:b/>
        </w:rPr>
        <w:t>E. 4</w:t>
      </w:r>
    </w:p>
    <w:p>
      <w:r>
        <w:t>a.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c. La notion d’erreur manifeste a été définie de manière restrictive par la jurisprudence, afin d’éviter que la reconsidération ne devienne un instrument autorisant sans autres limitations un nouvel examen (plus approfondi) des</w:t>
      </w:r>
    </w:p>
    <w:p>
      <w:r>
        <w:t>A/4358/2018 - 10/12 -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Ce n’est pas seulement l’application erronée d’une loi ou d’une ordonnance, mais aussi celle de la jurisprudence qui peut entraîner l’erreur de droit manifeste de la décision. Si l’assureur social considère qu’il n’y a pas lieu à reconsidération et rend une décision (matérielle) de refus, cette décision est susceptible d’être attaquée en justice (cas échéant, après opposition et décision sur opposition). Dans la procédure de recours subséquente, le contrôle juridictionnel se limite cependant au point de savoir si les conditions d’une reconsidération sont réunies (DUPON, MOSER-SZELESS, Commentaire de la loi sur la partie générale des assurances sociales, chiffres 71, 72, et 92. pp. 638, et 643).</w:t>
      </w:r>
    </w:p>
    <w:p>
      <w:r>
        <w:rPr>
          <w:b/>
        </w:rPr>
        <w:t>E. 5</w:t>
      </w:r>
    </w:p>
    <w:p>
      <w:r>
        <w:t>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Selon l’art. 23 al. 1 LAI, l'indemnité de base s'élève à 80 % du revenu que l'assuré percevait pour la dernière activité lucrative exercée sans restriction due à des raisons de santé; toutefois, elle s'élève à 80 % au plus du montant maximum de l'indemnité journalière fixée à l'art. 24, al. 1. Selon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w:t>
      </w:r>
    </w:p>
    <w:p>
      <w:r>
        <w:rPr>
          <w:b/>
        </w:rPr>
        <w:t>E. 6</w:t>
      </w:r>
    </w:p>
    <w:p>
      <w:r>
        <w:t>a. En l’occurrence, dans sa décision du 15 novembre 2018, l’OAI est entré en matière sur la demande de reconsidération de la recourante et l’a refusée, au motif que les décisions des 29 avril 2009 et 27 janvier 2010 n’étaient pas manifestement erronées. Dans ces conditions, la chambre de céans peut, conformément à la jurisprudence précitée, examiner le bien-fondé de la décision litigieuse. b. A cet égard, les décisions d’indemnités journalières des 29 avril 2009 et 27 janvier 2010 ont fait suite à la décision de l’intimé du 8 juin 2001. Celle-ci fixait le degré d’invalidité de la recourante à 80% sur la base d’une incapacité de travail totale, ce qui revenait à retenir implicitement un statut mixte de la recourante 80% active et 20% ménagère. Ce statut mixte tenait compte du taux de travail de 80% de la recourante mentionné par la fiduciaire B______ SA dans le questionnaire pour l’employeur du 29 août 2000, activité effectivement exercée à ce taux par la recourante du 1er mars 1996 au 25 avril 1999. Certes, tant lors de la décision du 8 juin 2001 que lors des décisions subséquentes des 29 avril 2009 et 27 janvier 2010, l’intimé n’a pas investigué la situation de la recourante, en particulier pour savoir</w:t>
      </w:r>
    </w:p>
    <w:p>
      <w:r>
        <w:t>A/4358/2018 - 11/12 - si, sans atteinte à la santé, elle aurait travaillé à un taux différent que celui effectivement exercé. Ce défaut d’instruction a engendré une erreur dans l’appréciation de l’intimé quant au statut de la recourante, celui-ci ayant finalement été retenu comme étant d’active à 100% (arrêt de la chambre de céans du 7 septembre 2015, ATAS/663/2015, confirmé par l’arrêt du Tribunal fédéral du 20 mai 2016). Cependant c’est à juste titre que l’intimé a estimé que cette erreur, compte tenu des documents figurant au dossier en 2009 et 2010, (soit le questionnaire pour l’employeur du 28 août 2000 et la décision de l’intimé du 8 juin 2001, entrée en force), n’était pas manifeste. Enfin, le fait que l’intimé ait accepté, par décisions du 17 octobre 2017, de reconsidérer le calcul de l’indemnité journalière allouée à la recourante du 1er avril au 31 mars 2012, en prenant compte un statut d’active à 100% de la recourante, par une appréciation différente du caractère manifestement erroné des décisions d’indemnités journalières en cause, n’est pas déterminant.</w:t>
      </w:r>
    </w:p>
    <w:p>
      <w:r>
        <w:rPr>
          <w:b/>
        </w:rPr>
        <w:t>E. 7</w:t>
      </w:r>
    </w:p>
    <w:p>
      <w:r>
        <w:t>Au vu de ce qui précède, le recours ne peut qu’être rejeté. La procédure n'étant pas gratuite (art. 69 al. 1bis LAI), il y a lieu de condamner la recourante au paiement d'un émolument de CHF 200.-.</w:t>
      </w:r>
    </w:p>
    <w:p>
      <w:r>
        <w:t>***</w:t>
      </w:r>
    </w:p>
    <w:p>
      <w:r>
        <w:t>A/4358/2018 - 12/12 -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