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ATAS/905/2008 vom 24. Januar 2008</w:t>
      </w:r>
    </w:p>
    <w:p>
      <w:r>
        <w:t>GE Cour de justice, 2008-01-24, FR</w:t>
      </w:r>
    </w:p>
    <w:p>
      <w:r>
        <w:rPr>
          <w:b/>
        </w:rPr>
        <w:t xml:space="preserve">Quelle: </w:t>
      </w:r>
      <w:r>
        <w:t>https://mcp.opencaselaw.ch/entscheid/ge_gerichte_ATAS_905_2008</w:t>
      </w:r>
    </w:p>
    <w:p>
      <w:r>
        <w:t>FR: GE_GERICHTE ATAS/905/2008 du 24 janvier 2008</w:t>
      </w:r>
    </w:p>
    <w:p>
      <w:r>
        <w:t>IT: GE_GERICHTE ATAS/905/2008 del 24 gennaio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A/1310/2008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entériné l'accord des parties et a ordonné le partage par moitié des prestations de sortie acquises depuis le mariage jusqu'au 31 décembre 2007 par le demandeur. Les dates pertinentes sont, d’une part, celle du mariage, le 29 novembre 1985, d’autre part le 31 décembre 2007.</w:t>
      </w:r>
    </w:p>
    <w:p>
      <w:r>
        <w:rPr>
          <w:b/>
        </w:rPr>
        <w:t>E. 4</w:t>
      </w:r>
    </w:p>
    <w:p>
      <w:r>
        <w:t>Selon les documents produits, la prestation acquise pendant le mariage par le demandeur est de 233'144 fr., intérêts compris jusqu'au 31 décembre 2007. Ainsi le demandeur doit à son ex-épouse le montant de 116'752 fr. (233'144 fr.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A/1310/2008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