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ATAS/904/2024 vom 18. November 2024</w:t>
      </w:r>
    </w:p>
    <w:p>
      <w:r>
        <w:t>GE Cour de justice, 2024-11-18, FR</w:t>
      </w:r>
    </w:p>
    <w:p>
      <w:r>
        <w:rPr>
          <w:b/>
        </w:rPr>
        <w:t xml:space="preserve">Quelle: </w:t>
      </w:r>
      <w:r>
        <w:t>https://mcp.opencaselaw.ch/entscheid/ge_gerichte_ATAS_904_2024</w:t>
      </w:r>
    </w:p>
    <w:p>
      <w:r>
        <w:t>FR: GE_GERICHTE ATAS/904/2024 du 18 novembre 2024</w:t>
      </w:r>
    </w:p>
    <w:p>
      <w:r>
        <w:t>IT: GE_GERICHTE ATAS/904/2024 del 18 novembre 2024</w:t>
      </w:r>
    </w:p>
    <w:p>
      <w:pPr>
        <w:pStyle w:val="Heading2"/>
      </w:pPr>
      <w:r>
        <w:t>Erwägungen</w:t>
      </w:r>
    </w:p>
    <w:p>
      <w:r>
        <w:rPr>
          <w:b/>
        </w:rPr>
        <w:t>E. 2</w:t>
      </w:r>
    </w:p>
    <w:p>
      <w:r>
        <w:t>Le litige porte sur le droit du recourant à une rente d’invalidité, singulièrement sur sa capacité de travail dans une activité adaptée à ses limitations fonctionnelles.</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entraine la mort (art. 4 LPGA ; ATF 129 V 402 consid. 2.1 ; 122 V 230 consid. 1 et les références).</w:t>
      </w:r>
    </w:p>
    <w:p>
      <w:r>
        <w:rPr>
          <w:b/>
        </w:rPr>
        <w:t>E. 3.2</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3.3</w:t>
      </w:r>
    </w:p>
    <w:p>
      <w:r>
        <w:t>et les références). Aussi n’existe-t-il pas, en droit des assurances sociales, un principe selon lequel l’administration ou le juge devrait statuer, dans le doute, en faveur de l’assuré (ATF 135 V 39 consid. 6. 1 et la référence).</w:t>
      </w:r>
    </w:p>
    <w:p>
      <w:r>
        <w:rPr>
          <w:b/>
        </w:rPr>
        <w:t>E. 3.4</w:t>
      </w:r>
    </w:p>
    <w:p>
      <w:r>
        <w:t>Si l'assuré est invalide (art. 8 LPGA) à 10% au moins par suite d’un accident, il a droit à une rente d'invalidité, pour autant que l’accident soit survenu avant l’âge ordinaire de la retraite (art. 18 al. 1 LAA, dans sa teneur en vigueur à compter du 1er janvier 2017).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w:t>
      </w:r>
    </w:p>
    <w:p>
      <w:r>
        <w:rPr>
          <w:b/>
        </w:rPr>
        <w:t>E. 3.4.1</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3.4.1.1</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B______, mais bien plutôt celui qu'elle réaliserait si elle n'était pas devenue invalide. Selon la jurisprudence constante du Tribunal fédéral, un tel cas d’exception se présente par exemple lorsque le poste de travail que l’assuré occupait avant la survenance de l’atteinte à la santé n’existe plus au moment de l’évaluation de l’invalidité, lorsqu’il n’aurait pas pu conserver son poste en raison des difficultés économiques, en cas de faillite ou de restructuration de l’entreprise</w:t>
      </w:r>
    </w:p>
    <w:p>
      <w:r>
        <w:t>A/626/2021 - 17/27 - (arrêt du Tribunal fédéral 8C_746/2023 du 7 juin 2024 consid. 4.3 et les références). Lorsque la personne assurée, en bonne santé, ne travaillerait plus à son ancien poste, le revenu de valide doit être déterminé, conformément à la pratique, au moyen des valeurs statistiques (arrêt du Tribunal fédéral 8C_214/2023 du 20 février 2024 consid. 4.2.1 et les références).</w:t>
      </w:r>
    </w:p>
    <w:p>
      <w:r>
        <w:rPr>
          <w:b/>
        </w:rPr>
        <w:t>E. 3.4.1.2</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143 V 295 consid. 2.2 et les références). Il convient de se fonder, en règle générale, sur les salaires mensuels indiqués dans la table ESS TA1_tirage_skill_level, à la ligne «total secteur privé»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146 V 16 consid. 4.1 et les références ; 126 V 75 consid. 5b/aa).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148 V 174 consid. 6.3 et les références ; 126 V 75 consid. 5b/bb et les références ; arrêt du Tribunal fédéral 8C_608/2021 du 26 avril 2022 consid.</w:t>
      </w:r>
    </w:p>
    <w:p>
      <w:r>
        <w:rPr>
          <w:b/>
        </w:rPr>
        <w:t>E. 3.5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3.5.1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3.5.2</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w:t>
      </w:r>
    </w:p>
    <w:p>
      <w:r>
        <w:t>A/626/2021 - 19/27 -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w:t>
      </w:r>
    </w:p>
    <w:p>
      <w:r>
        <w:rPr>
          <w:b/>
        </w:rPr>
        <w:t>E. 3.5.3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w:t>
      </w:r>
    </w:p>
    <w:p>
      <w:r>
        <w:rPr>
          <w:b/>
        </w:rPr>
        <w:t>E. 3.6</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apparait nécessaire de clarifier les aspects médicaux du cas (ATF 117 V 283 consid. 4a ; RAMA 1985 p. 240 consid. 4 ; arrêt du Tribunal fédéral des assurances I 751/03 du 19 mars 2004 consid. 3.3).</w:t>
      </w:r>
    </w:p>
    <w:p>
      <w:r>
        <w:rPr>
          <w:b/>
        </w:rPr>
        <w:t>E. 3.7</w:t>
      </w:r>
    </w:p>
    <w:p>
      <w:r>
        <w:t>Le juge des assurances sociales fonde sa décision, sauf dispositions contraires de la loi, sur les faits qui, faute d’être établis de manière irréfutable, apparaissent</w:t>
      </w:r>
    </w:p>
    <w:p>
      <w:r>
        <w:t>A/626/2021 - 20/27 -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130 III 321 consid. 3.2 et</w:t>
      </w:r>
    </w:p>
    <w:p>
      <w:r>
        <w:rPr>
          <w:b/>
        </w:rPr>
        <w:t>E. 4.1</w:t>
      </w:r>
    </w:p>
    <w:p>
      <w:r>
        <w:t>En l’occurrence, la chambre de céans a estimé qu’une expertise judiciaire neurologique était nécessaire, considérant ce qui suit : l’intimée s’est fondée, pour rendre sa décision de refus de rente d’invalidité, sur les appréciations des Drs O______ et P______. À cet égard, l’appréciation du Dr O______ du 6 juillet 2020, qui est principalement fondée sur ce qu’il considère être des incohérences de la part du recourant, soit une hypersensibilité sélective et une force de serrage nulle, alors qu’il existe une musculature normale du membre supérieur gauche, n’est pas étayée et n’est pas convaincante. En outre, l’exclusion d’un syndrome douloureux chronique chez le recourant par le médecin de l’intimée va à l’encontre du suivi par le centre de la douleur depuis juin 2015, lequel a constaté des douleurs neurogènes et une sensibilisation centrale expliquant la diffusion de douleurs et justifiant l’administration d’un traitement antalgique. Quant à la Dre P______, elle s’est limitée dans son rapport du 18 septembre 2020 à se rallier à l’avis du Dr O______. Ces deux avis sont manifestement insuffisants pour retenir, comme l’a fait la SUVA, une capacité de travail du recourant de 100% dans une activité adaptée, étant rappelé que la chambre de céans a considéré, dans son arrêt du 17 septembre 2018, que le rapport de la CRR du 7 août 2017 et les avis du Dr H______ n’étaient pas probants non plus. En outre, le rapport du Dr C______ du 18 novembre 2021, fondé sur une dernière consultation de décembre 2018, ne revêt pas pleine valeur probante. En effet, le Dr C______ fait état d’une éventuelle autolimitation du recourant, tout en admettant qu’elle peut ne pas être volontaire mais découler de l’état douloureux chronique qui laisse au niveau cérébral des empreintes difficilement effaçables, malgré une mécanique de la main restituée. Contrairement à l’avis de l’intimée, ce constat ne permet pas de conclure à une autolimitation volontaire du recourant. Le Dr C______ estime ensuite que le recourant présente une capacité de travail dans une activité adaptée dès le 1er janvier 2019 de 80%, avec un rendement de 50%, puis se déclare en accord avec les conclusions du Dr O______ qui retient une capacité de travail de 100%, tout en précisant qu’une diminution de rendement de 20% pourrait être acceptée. Ses conclusions sur la capacité de travail du recourant ne sont ainsi pas claires. On ne sait si le recourant est considéré comme apte à travailler à 40% (80% avec une diminution de rendement de 50%) ou à 50% ou à</w:t>
      </w:r>
    </w:p>
    <w:p>
      <w:r>
        <w:t>A/626/2021 - 21/27 - 80% (100% avec une diminution de rendement de 20%). Enfin, le Dr C______ considère le SDRC comme probable, tout comme l’existence de douleurs qui sont prises en compte dans la diminution du taux d’activité exigible. Or, le Dr C______ se réfère aussi à l’avis du Dr O______ du 6 juillet 2020, lequel exclut un SDRC actif. En définitive, il existe un doute sur les limitations fonctionnelles du recourant et, en particulier, sur l’impact du SDRC et le taux de capacité de travail exigible, aucun rapport médical probant et convaincant ne permettant d’éclaircir, au degré de la vraisemblance prépondérante, ces questions, étant relevé que l’avis peu motivé du Dr Q______ quant à une capacité de travail nulle du recourant et celui des Drs L______, R______ et S______ - qui ne se prononcent pas sur la capacité de travail du recourant - ne sont pas suffisants non plus pour statuer.</w:t>
      </w:r>
    </w:p>
    <w:p>
      <w:r>
        <w:rPr>
          <w:b/>
        </w:rPr>
        <w:t>E. 4.2</w:t>
      </w:r>
    </w:p>
    <w:p>
      <w:r>
        <w:t>Les Drs T______ et U______ ont rendu leur rapport d’expertise judiciaire le 4 août 2023, lequel a été complété les 5 décembre 2023 et 16 avril 2024. Les experts ont posé les diagnostics neurologiques de trouble fonctionnel avec hémisyndrome douloureux sensitif avec sous-utilisation du membre supérieur gauche secondaire à une sensibilisation centrale d’un syndrome douloureux régional complexe, de syndrome douloureux régional complexe de type I de forme « froide » dans le décours post-ablation et de fracture base du cinquième métacarpien et hamatum gauches à la suite d’une fracture post-traumatique avec développement d’un cal vicieux sur le lieu de travail. Le recourant présentait des limitations fonctionnelles d’augmentation des douleurs à l’effort lors de la station assise prolongée et lors de l’application d’eau froide, responsables de troubles de la concentration importants (rapport d’expertise du 4 août 2023). Les experts ont ensuite précisé les limitations fonctionnelles de la manière suivante : éviter le port de charges excédant 15 kg, éviter les activités en préhension forcée de la main gauche, éviter les activités avec une flexion / extension / pronation et supination répétitives de l’avant-bras et du poignet, éviter toute activité nécessitant des mouvements répétés au-dessus de l’horizontale et éviter des travaux à la chaine nécessitant une stature prolongée assise et une attention soutenue de plus d’une heure. Le membre supérieur gauche peut servir d’accompagnement à la main droite en privilégiant des activités avec appui sur établi (complément d’expertise du 5 décembre 2023). Les experts ont relevé que lors d’une exacerbation du tableau douloureux, il était probable que les douleurs chroniques influençaient la capacité d’assumer des tâches demandant une attention soutenue (complément d’expertise du 5 décembre 2023). Les difficultés de concentration étaient en lien tant avec l’aggravation des douleurs à l’effort qu’avec la position assise prolongée, celle-ci pouvant provoquer une focalisation cognitive sur les douleurs pouvant augmenter le ressenti algique et donc interagir avec les capacités fonctionnelles (complément d’expertise du 16 avril 2024).</w:t>
      </w:r>
    </w:p>
    <w:p>
      <w:r>
        <w:t>A/626/2021 - 22/27 - S’agissant de la capacité de travail, les experts judiciaires l’ont, dans un premier temps, fixée à un taux de 50% dans une activité adaptée aux limitations fonctionnelles, en se référant à la table de la SUVA pour une impotence totale du membre supérieur gauche. Dans leurs compléments d’expertise, les experts, après avoir été informés que les tables SUVA n’étaient pas pertinentes pour l’évaluation de la capacité de travail, ont rectifié leur position et, après nouvelle évaluation, ont estimé la capacité de travail du recourant à un taux de 80%, soit une activité exercée à un taux de 100%, avec une diminution de rendement de 20% en raison de troubles de la concentration.</w:t>
      </w:r>
    </w:p>
    <w:p>
      <w:r>
        <w:rPr>
          <w:b/>
        </w:rPr>
        <w:t>E. 4.2.1</w:t>
      </w:r>
    </w:p>
    <w:p>
      <w:r>
        <w:t>Fondée sur toutes les pièces du dossier, comprenant une anamnèse détaillée, les plaintes du recourant, un status et des constatations objectives, des diagnostics clairs et une évaluation motivée et convaincante de la capacité de travail, le rapport d’expertise judiciaire du 4 août 2023, complété les 5 décembre 2023 et 16 avril 2024, répond aux réquisits jurisprudentiels précités pour qu’il lui soit reconnu une pleine valeur probante. Le fait qu’un tableau anxio-dépressif ait été signalé par les experts neurologues comme participant probablement aux difficultés cognitives du recourant n’est pas pertinent et n’ôte pas sa valeur probante à l’expertise judiciaire, dès lors que les experts n’ont pas, en tant que neurologues, les compétences de poser un diagnostic psychiatrique, d’une part, et que les douleurs chroniques ont été clairement mises en lien avec les troubles cognitifs du recourant, d’autre part. En outre, le fait que les experts judiciaires aient évalué, dans un premier temps, une capacité de travail de 50%, augmentée ensuite à 80%, n’enlève pas non plus toute valeur probante à l’expertise judiciaire, les experts judiciaires ayant motivé de façon convaincante leurs dernières appréciations. Le recourant est ainsi reconnu capable de travailler dans une activité adaptée aux limitations fonctionnelles, à un taux de 100% avec une diminution de rendement de 20% due aux difficultés de concentration, constatées cliniquement par les experts judiciaires et engendrées par les douleurs chroniques causées par le SDRC de forme froide et l’hémisyndrome douloureux. L’intimée, en se ralliant à l’avis de la Dre P______, conteste les conclusions de l’expertise judiciaire. Ses critiques ne sont cependant pas à même de mettre en cause la valeur probante de celle-ci, comme il sera exposé ci-après. Quant au recourant, il estime que les premières conclusions des experts judiciaires doivent être retenues, à l’exclusion de celles prises dans le cadre des compléments d’expertise, ce qui ne peut être retenu, les experts judiciaires ayant précisé leur évaluation de la capacité de travail dans deux compléments motivés de façon convaincante.</w:t>
      </w:r>
    </w:p>
    <w:p>
      <w:r>
        <w:rPr>
          <w:b/>
        </w:rPr>
        <w:t>E. 4.2.1.1</w:t>
      </w:r>
    </w:p>
    <w:p>
      <w:r>
        <w:t>La Dre P______ estime que les troubles de la concentration ne sont pas objectivés, en relevant que le recourant peut conduire jusqu’à une heure et qu’il peut réaliser l’ensemble de ses activités de base de la vie quotidienne.</w:t>
      </w:r>
    </w:p>
    <w:p>
      <w:r>
        <w:t>A/626/2021 - 23/27 - À cet égard, les experts judiciaires ont mentionné qu’ils avaient observé chez le recourant des limitations fonctionnelles, après 30 à 40 minutes de posture assise, ce qui était cohérent avec les plaintes anamnestiques, la position assise pouvant provoquer une focalisation cognitive du recourant sur ses douleurs et augmenter son ressenti algique, en interagissant avec ses capacités attentionnelles. Ils ont estimé qu’un examen neuropsychologique n’était pas nécessaire (complément d’expertise du 16 avril 2024), de telle sorte qu’il convient d’admettre que les troubles de la concentration du recourant sont objectivés. Contrairement à l’avis de la Dre P______, le fait que le recourant soit autonome dans la gestion de son quotidien et apte à conduire durant une heure n’est pas contradictoire avec le constat de trouble attentionnel chez le recourant, ce d’autant que les experts judiciaires ont indiqué qu’il était nécessaire que le recourant, dans une activité adaptée, puisse effectuer des pauses de 15 minutes toutes les heures (complément d’expertise du 16 avril 2024) et que la position assise - que le recourant est à même de tenir en conduisant - est possible au maximum pendant une heure, ce qui est en cohérence avec les limitations fonctionnelles retenues par les experts judiciaires.</w:t>
      </w:r>
    </w:p>
    <w:p>
      <w:r>
        <w:rPr>
          <w:b/>
        </w:rPr>
        <w:t>E. 4.2.1.2</w:t>
      </w:r>
    </w:p>
    <w:p>
      <w:r>
        <w:t>La Dre P______ se réfère à l’expertise de la CRR, à l’avis du Dr O______ du 6 juillet 2020 et à celui du Dr C______ du 18 novembre 2021 pour écarter le diagnostic d’hémisyndrome douloureux sensitif avec sous- utilisation du membre supérieur gauche avec composante fonctionnelle inconsciente secondaire à la sensibilisation centrale du SDRC. Tout d’abord, les avis médicaux cités par la Dre P______ ont été jugés non probants par la chambre de céans (ATAS/819/2018 et ordonnance d’expertise du 1er juillet 2022). Au surplus, les médecins précités ne sont pas spécialisés en neurologie, pas plus que la Dre P______, contrairement aux experts judiciaires et à l’expert Y______ (expertise du V______ du 5 décembre 2022). À cet égard, dans un arrêt de ce jour dans le cadre de la procédure opposant le recourant à l’OAI (A/1630/2023), la chambre de céans a constaté l’entière valeur probante de l’expertise du V______ précitée, laquelle conclut, tout comme l’expertise judiciaire, à une capacité totale de travail du recourant dans une activité adaptée à ses limitations fonctionnelles, avec une diminution de rendement de 20%. Elle a relevé que le SMR avait considéré (dans un avis du 13 mai 2024), que l’expertise judiciaire, complétée les 5 décembre 2023 et 16 avril 2024, était convaincante et qu’elle était en accord avec les conclusions des experts du V______. L’expert Y______ a retenu un diagnostic de douleurs nociceptives persistantes majeures et sensibilisation centrale, conduisant à l’extension du schéma anatomique douloureux sur tout l’hémicorps gauche, principalement situé au membre supérieur gauche, jusqu’à la racine de l’épaule. Il a relevé que l’ensemble des douleurs du membre supérieur gauche, voire de l’hémicorps gauche, étaient plutôt à mettre en relation avec une chronicisation de la douleur et une</w:t>
      </w:r>
    </w:p>
    <w:p>
      <w:r>
        <w:t>A/626/2021 - 24/27 - sensibilisation centrale. Son diagnostic rejoint ainsi celui des experts judiciaires, étant relevé que le SDRC retenu seulement par l’expert Z______ a été finalement mentionné dans les diagnostics de l’évaluation consensuelle des experts du V______. En particulier, la présence de douleurs nociceptives persistantes majeures et sensibilisation centrale est retenue comme un trouble objectivé, en lien avec la fracture du cinquième métacarpien de la main gauche et les interventions chirurgicales qui ont suivi. Les diagnostics posés par les experts judiciaires et l’expert Y______, clairs et bien motivés, peuvent ainsi être suivis.</w:t>
      </w:r>
    </w:p>
    <w:p>
      <w:r>
        <w:rPr>
          <w:b/>
        </w:rPr>
        <w:t>E. 4.2.1.3</w:t>
      </w:r>
    </w:p>
    <w:p>
      <w:r>
        <w:t>L’intimée conteste la diminution de rendement de 20% retenue par les experts judiciaires et ceux du V______. S’agissant de la capacité de travail du recourant, singulièrement de la diminution de rendement de 20% (sur un taux de 100% exigible dans une activité adaptée), elle est fondée sur la limitation fonctionnelle liée aux troubles attentionnels, lesquels ont été considérés comme objectivés par les experts judiciaires. Par ailleurs, elle rejoint, en tous points, celle évaluée par les experts du V______ et, en particulier, par le Dr Y______, lequel mentionne que du fait de la médication en cours et des troubles de la concentration, dans la mesure où l'assuré pourrait exercer une activité légère ne mettant à contribution pour ainsi dire que le membre supérieur droit, le membre supérieur gauche servant d'appoint avec limitation de charge, une activité qui ne nécessite pas de monter sur une échelle ou un escabeau, activité qui ne nécessite pas le travail sur des machines, la capacité de travail neurologique / neuropsychologique peut être évaluée à 80%, par perte de rendement de 20% en relation avec les douleurs et la médication en cours et du ralentissement d’exécution des tâches. L’évaluation par tous les experts neurologues d’une perte de rendement de 20% liée aux troubles cognitifs du recourant peut ainsi être confirmée.</w:t>
      </w:r>
    </w:p>
    <w:p>
      <w:r>
        <w:rPr>
          <w:b/>
        </w:rPr>
        <w:t>E. 4.2.1.4</w:t>
      </w:r>
    </w:p>
    <w:p>
      <w:r>
        <w:t>L’intimée estime encore que l’évaluation consensuelle des experts du V______, qui rejoint celle des experts judiciaires, n’est pas déterminante dès lors qu’elle se contente de juxtaposer les observations des experts. Or, contrairement à l’avis de l’intimée, les experts ont effectué une évaluation consensuelle le 28 novembre 2022 en présentiel (expertise du V______ p. 7) et relevé que l’examen clinique pluridisciplinaire avait mis en évidence les diagnostics figurant au dossier avec les incapacités qui en résultaient, sans atteinte à la santé d’ordre psychique ou de la médecine interne (expertise du V______ p. 4). Malgré les quelques incohérences relevées par l’expert rhumatologue, l’ensemble des experts ont estimé qu’une perte de rendement de 20% dans une activité adaptée était justifiée d’un point de vue neurologique (expertise du V______ p. 5). Le SMR a ensuite estimé que l’expertise du V______ avait pleine valeur probante (avis du 6 décembre 2022). À cet égard, il convient de relever que 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w:t>
      </w:r>
    </w:p>
    <w:p>
      <w:r>
        <w:t>A/626/2021 - 25/27 -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 Au demeurant, la cohérence entre les conclusions de l’expertise judiciaire et celles du V______, lesquelles ont toutes deux fait l’objet d’une évaluation consensuelle des experts, que le SMR a par ailleurs jugées probantes, renforce la valeur de leurs conclusions.</w:t>
      </w:r>
    </w:p>
    <w:p>
      <w:r>
        <w:rPr>
          <w:b/>
        </w:rPr>
        <w:t>E. 4.2.2</w:t>
      </w:r>
    </w:p>
    <w:p>
      <w:r>
        <w:t>Au vu de ce qui précède, il convient de retenir que le recourant présente, depuis le 1er novembre 2017, une capacité de travail de 80% dans une activité adaptée à ses limitations fonctionnelles.</w:t>
      </w:r>
    </w:p>
    <w:p>
      <w:r>
        <w:rPr>
          <w:b/>
        </w:rPr>
        <w:t>E. 4.3</w:t>
      </w:r>
    </w:p>
    <w:p>
      <w:r>
        <w:t>Il convient de calculer le degré d’invalidité. S’agissant du revenu sans invalidité, la société B______, pour laquelle le recourant travaillait avant son accident du 2 août 2013 et son incapacité de travail totale qui s’en est suivie, a été radiée le 19 décembre 2014 par suite de faillite. En application de la jurisprudence susmentionnée (arrêt du Tribunal fédéral 8C_746/2023 du 7 juin 2024), le salaire réalisé par le recourant auprès de B______ ne peut être pris en compte au titre de revenu sans invalidité. Il convient en conséquence de se fonder sur le revenu issu des salaires statistiques 2016, ligne total, pour un homme, dans une activité de niveau 1, soit un revenu de CHF 5'340.- par mois et de CHF 64'080.- par année. Adapté à la durée normale de travail dans les entreprises en 2016, soit 41,7 heures, et indexé à l’année 2017 (+ 0,6%), il est de CHF 67'204.-. Quant au revenu d’invalide, il doit être calculé sur cette même base, de sorte que le degré d’invalidité du recourant correspond au taux de la perte de rendement de 20%, étant relevé qu’aucun critère, selon la jurisprudence précitée et permettant de procéder à un abattement sur le revenu d’invalide, n’est réalisé, en particulier les limitations fonctionnelles du recourant ayant déjà été prises en compte dans la diminution de rendement de 20%. Ce taux d’invalidité de 20% donne droit à une rente d’invalidité de 20% depuis la date de stabilisation de l’état de santé du recourant, le 1er novembre 2017</w:t>
      </w:r>
    </w:p>
    <w:p>
      <w:r>
        <w:rPr>
          <w:b/>
        </w:rPr>
        <w:t>E. 4.4</w:t>
      </w:r>
    </w:p>
    <w:p>
      <w:r>
        <w:t>Conformément à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w:t>
      </w:r>
    </w:p>
    <w:p>
      <w:r>
        <w:t>A/626/2021 - 26/27 - apparait peu opportun au regard du principe de l'égalité des armes (ATF 139 V 225 consid. 4.3). Cette règle ne saurait entrainer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 arrêt du Tribunal fédéral 8C_580/2019 du 6 avril 2020 consid. 5.1). En l’occurrence, l’intimée s’est fondée sur les rapports de ses médecins-conseils, insuffisamment probants, de sorte qu’une expertise judiciaire a été nécessaire. Partant, les frais de celle-ci seront mis à la charge de l’intimée.</w:t>
      </w:r>
    </w:p>
    <w:p>
      <w:r>
        <w:rPr>
          <w:b/>
        </w:rPr>
        <w:t>E. 5</w:t>
      </w:r>
    </w:p>
    <w:p>
      <w:r>
        <w:t>Au vu de ce qui précède, le recours sera partiellement admis, la décision litigieuse annulée et il sera dit que le recourant a droit, depuis le 1er novembre 2017, à une rente d’invalidité, d’un taux de 20%. Le recourant obtenant partiellement gain de cause, une indemnité de CHF 3'500.- lui sera accordée à titre de participation à ses frais et dépens (art. 61 let. g LPGA ; art. 6 du règlement sur les frais, émolument et indemnités en matière administrative du 30 juillet 1986 [RFPA – E 5 10.03]). Les frais de l’expertise judiciaire en CHF 8'300.- seront mis à la charge de l’intimée. Pour le surplus, la procédure est gratuite (art. 61 let. fbis LPGA a contrario).</w:t>
      </w:r>
    </w:p>
    <w:p>
      <w:r>
        <w:t>A/626/2021 - 27/27 -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