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ATAS/904/2018 vom 8. Oktober 2018</w:t>
      </w:r>
    </w:p>
    <w:p>
      <w:r>
        <w:t>GE Cour de justice, 2018-10-08, FR</w:t>
      </w:r>
    </w:p>
    <w:p>
      <w:r>
        <w:rPr>
          <w:b/>
        </w:rPr>
        <w:t xml:space="preserve">Quelle: </w:t>
      </w:r>
      <w:r>
        <w:t>https://mcp.opencaselaw.ch/entscheid/ge_gerichte_ATAS_904_2018</w:t>
      </w:r>
    </w:p>
    <w:p>
      <w:r>
        <w:t>FR: GE_GERICHTE ATAS/904/2018 du 8 octobre 2018</w:t>
      </w:r>
    </w:p>
    <w:p>
      <w:r>
        <w:t>IT: GE_GERICHTE ATAS/904/2018 del 8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la forme et le délai prévus par la loi, le recours est recevable (art. 56 ss LPGA et 62 ss LPA).</w:t>
      </w:r>
    </w:p>
    <w:p>
      <w:r>
        <w:t>A/4933/2017 - 15/28 -</w:t>
      </w:r>
    </w:p>
    <w:p>
      <w:r>
        <w:rPr>
          <w:b/>
        </w:rPr>
        <w:t>E. 4</w:t>
      </w:r>
    </w:p>
    <w:p>
      <w:r>
        <w:t>Le litige porte sur le droit du recourant à une rente d’invalidité au-delà du 31 mars 2016.</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7</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w:t>
      </w:r>
    </w:p>
    <w:p>
      <w:r>
        <w:t>A/4933/2017 - 16/28 - celui-ci est resté en soi le même, mais que ses conséquences sur la capacité de gain ont subi un changement important (ATF 130 V 343 consid. 3.5; ATF 113 V 273 consid. 1a; arrêt du Tribunal fédéral 9C_1006/2010 du 22 mars 2011 consid 2.2).</w:t>
      </w:r>
    </w:p>
    <w:p>
      <w:r>
        <w:rPr>
          <w:b/>
        </w:rPr>
        <w:t>E. 8</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A/4933/2017 - 17/28 -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A/4933/2017 - 18/28 -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w:t>
      </w:r>
    </w:p>
    <w:p>
      <w:r>
        <w:t>A/4933/2017 - 19/28 -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w:t>
      </w:r>
    </w:p>
    <w:p>
      <w:r>
        <w:t>A/4933/2017 - 20/28 -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w:t>
      </w:r>
    </w:p>
    <w:p>
      <w:r>
        <w:t>A/4933/2017 - 21/28 -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w:t>
      </w:r>
    </w:p>
    <w:p>
      <w:r>
        <w:t>A/4933/2017 - 22/28 -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d. Lorsqu'il apparaît que l'assuré touchait un salaire nettement inférieur aux salaires habituels de la branche pour des raisons étrangères à l'invalidité et que les circonstances ne permettent pas de supposer qu'il s'est contenté d'un salaire plus modeste que celui qu'il aurait pu prétendre, il y a lieu d'en tenir compte dans la comparaison des revenus en opérant un parallélisme des revenus à comparer (ATF 134 V 322 consid. 4.1 et les arrêts cités). Le revenu effectivement réalisé doit être considéré comme nettement inférieur aux salaires habituels de la branche lorsqu'il est inférieur d'au moins 5% au salaire statistique usuel dans la branche (ATF 135 V 297 consid. 6.1.2; arrêt du Tribunal fédéral 9C_692/2010 du 31 janvier 2011 consid. 3.2). En pratique, le parallélisme des revenus à comparer peut être effectué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arrêt du Tribunal fédéral 9C_692/2010, op. cit., consid. 3.4). e.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w:t>
      </w:r>
    </w:p>
    <w:p>
      <w:r>
        <w:t>A/4933/2017 - 23/28 -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f.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w:t>
      </w:r>
    </w:p>
    <w:p>
      <w:r>
        <w:t>A/4933/2017 - 24/28 - g. Selon la jurisprudence, le résultat exact du calcul du degré d’invalidité doit être arrondi au chiffre en pour cent supérieur ou inférieur selon les règles applicables en mathématiques. En cas de résultat jusqu'à x,49%, il faut arrondir à x % et pour des valeurs à partir de x,50%, il faut arrondir à x+1 % (ATF 130 V 121 consid. 3.2). h. Ni le déconditionnement issu d'un mode de vie sédentaire et inactif, ni celui lié à une longue interruption de l'activité professionnelle ne suffisent en tant que tels pour admettre une diminution durable de la capacité de travail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capacité de travail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capacité de travail.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w:t>
      </w:r>
    </w:p>
    <w:p>
      <w:r>
        <w:rPr>
          <w:b/>
        </w:rPr>
        <w:t>E. 14</w:t>
      </w:r>
    </w:p>
    <w:p>
      <w:r>
        <w:t>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15</w:t>
      </w:r>
    </w:p>
    <w:p>
      <w:r>
        <w:t>janvier 2016, à l’appréciation du Dr H______ du 17 août 2016 ainsi qu’à l’avis du SMR du 8 février 2017, lequel renvoie aux deux premiers avis. b. A cet égard, les rapports de la CRR et du Dr H______ répondent aux réquisits jurisprudentiels précités pour qu’il leur soit reconnu une pleine valeur probante.</w:t>
      </w:r>
    </w:p>
    <w:p>
      <w:r>
        <w:t>A/4933/2017 - 25/28 - Le rapport de la CRR tient compte des diverses prises en charge entreprises durant le séjour du recourant (physiothérapie, ergothérapie, atelier professionnel, atelier pied et chaussure et diététique), des plaintes du recourant, d’examens radiologiques récents, pose des diagnostics clairs et effectue une appréciation de la capacité de travail et des limitations fonctionnelles qui est convaincante. Quant à l’appréciation du Dr H______, elle repose sur l’examen des pièces du dossier, dont la prise en compte du rapport de la CRR, l’examen clinique du recourant, relate les plaintes de celui-ci, pose un diagnostic clair et évalue la capacité de travail du recourant également de façon convaincante. Au vu de ces avis, le recourant doit être considéré comme totalement incapable d’exercer son ancienne activité d’aide-peintre depuis le 27 novembre 2013, date de son accident, et capable d’exercer à 100 % une activité adaptée à ses limitations fonctionnelles dès la stabilisation de son état de santé. Compte tenu de l’avis du SMR du 8 février 2017 estimant que les évaluations de la CRR et du Dr H______ étaient probantes, de l’absence d’autres pathologies qui ne relèveraient pas des suites de l’accident en cause, l’intimé pouvait se contenter de se fonder sur l’instruction médicale effectuée par la SUVA. c. S’agissant de l’aptitude à la réadaptation, le SMR l’a fixée au 1er janvier 2016 en considérant qu’elle était envisageable après le séjour à la CRR. Le recourant fait valoir qu’une activité adaptée n’était pas envisageable avant août 2016, date du rapport du Dr H______. A cet égard, le rapport de la CRR du 15 janvier 2016, relève que la situation n’est pas stabilisée du point de vue médical et des aptitudes fonctionnelles et qu’une stabilisation médicale est attendue dans un délai de deux à trois mois. Quant au Dr H______, il a constaté le 16 août 2016 que la situation était suffisamment stabilisée pour permettre un bilan assécurologique du cas. En l’absence d’un autre avis médical au dossier constatant une stabilisation de l’état de santé antérieure au</w:t>
      </w:r>
    </w:p>
    <w:p>
      <w:r>
        <w:rPr>
          <w:b/>
        </w:rPr>
        <w:t>E. 16</w:t>
      </w:r>
    </w:p>
    <w:p>
      <w:r>
        <w:t>a. Dès le 1er décembre 2016, il convient ainsi de déterminer le degré d’invalidité du recourant. A cet égard, le recourant conteste le revenu sans invalidité retenu par l’intimé, de CHF 55'432.-. Or, si le revenu mensuel de CHF 5'816.- (annuel de CHF 69'792.-) avancé par le recourant, - outre qu’il n’est pas justifié, celui selon l’ESS 2014 Tableau TA1 pour un homme, niveau 1 dans le domaine de la construction (ligne 41-43) étant de CHF 5'507.- par mois – était néanmoins retenu, le degré d’invalidité serait de 14%, soit inférieur à celui ouvrant droit à une rente d’invalidité ou à une mesure de reclassement professionnel. En effet, le revenu sans invalidité annuel de CHF 69'792.-, comparé au revenu avec invalidité de CHF 59'808.-, aboutit à une perte de gain de 14 %. b. Le recourant conteste également le taux de 10 % retenu par l’intimé au titre de déduction sur le salaire statistique d’invalide. A cet égard, le manque de formation et d’expérience dans une nouvelle profession adaptée aux limitations fonctionnelles du recourant n’est pas un facteur susceptible de jouer un rôle significatif sur ses perspectives salariales ; d’une part les activités adaptées envisagées (simples et répétitives de niveau de compétence 1) ne requièrent ni formation, ni expérience professionnelle spécifique ; d'autre part, tout nouveau travail va de pair avec une période d'apprentissage, de sorte qu'il n'y a pas lieu d'effectuer un abattement à ce titre (arrêt du Tribunal fédéral 8C_227/2017 du 17 mai 2018). Par ailleurs, le statut d’étranger du recourant, compte tenu de son autorisation de séjour C, n’a pas à être pris en compte non plus. Enfin, la mauvaise maitrise de la langue française ne fait pas partie des critères permettant de bénéficier d’une déduction sur le salaire statistique d’invalide (à cet égard, arrêt du Tribunal fédéral 9C 42/2017 du 29 juin 2017). Au demeurant, la déduction de 10 % retenue par l’intimé n’est pas critiquable et ne peut qu’être confirmée. c. Partant, le degré d’invalidité, d’au maximum 14 %, n’ouvre plus droit dès le 1er décembre 2016 à des prestations.</w:t>
      </w:r>
    </w:p>
    <w:p>
      <w:r>
        <w:t>A/4933/2017 - 27/28 -</w:t>
      </w:r>
    </w:p>
    <w:p>
      <w:r>
        <w:rPr>
          <w:b/>
        </w:rPr>
        <w:t>E. 17</w:t>
      </w:r>
    </w:p>
    <w:p>
      <w:r>
        <w:t>Le recours sera en conséquence partiellement admis et la décision litigieuse réformée en ce sens que le recourant a droit à une rente entière d’invalidité jusqu’au 30 novembre 2016. Vu l’issue du litige, une indemnité de CHF 1’500.- sera accordée au recourant à titre de participation à ses frais et dépens (art. 61 let. g LPGA; art. 6 du règlement sur les frais, émoluments et indemnités en matière administrative du 30 juillet 1986 [RFPA - E 5 10.03]), à charge de l’intimé. Etant donné que, depuis le 1er juillet 2006, la procédure n'est plus gratuite (art. 69 al. 1bis LAI), au vu du sort du recours, il y a lieu de condamner l'intimé au paiement d'un émolument de CHF 500.-.</w:t>
      </w:r>
    </w:p>
    <w:p>
      <w:r>
        <w:t>A/4933/2017 - 28/28 -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