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ATAS/904/2017 vom 12. Oktober 2017</w:t>
      </w:r>
    </w:p>
    <w:p>
      <w:r>
        <w:t>GE Cour de justice, 2017-10-12, FR</w:t>
      </w:r>
    </w:p>
    <w:p>
      <w:r>
        <w:rPr>
          <w:b/>
        </w:rPr>
        <w:t xml:space="preserve">Quelle: </w:t>
      </w:r>
      <w:r>
        <w:t>https://mcp.opencaselaw.ch/entscheid/ge_gerichte_ATAS_904_2017</w:t>
      </w:r>
    </w:p>
    <w:p>
      <w:r>
        <w:t>FR: GE_GERICHTE ATAS/904/2017 du 12 octobre 2017</w:t>
      </w:r>
    </w:p>
    <w:p>
      <w:r>
        <w:t>IT: GE_GERICHTE ATAS/904/2017 del 12 ottobre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Il s'agit en premier lieu d'examiner la recevabilité du recours.</w:t>
      </w:r>
    </w:p>
    <w:p>
      <w:r>
        <w:t>A/3553/2017 - 3/5 -</w:t>
      </w:r>
    </w:p>
    <w:p>
      <w:r>
        <w:rPr>
          <w:b/>
        </w:rPr>
        <w:t>E. 3</w:t>
      </w:r>
    </w:p>
    <w:p>
      <w:r>
        <w:t>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30 jours suivant la notification de la décision litigieuse (art. 56 et 60 LPGA et art. 63 al. 1 let. a de la loi sur la procédure administrative du 12 septembre 1985 - LPA; RS E 5 10). Les art. 38 à 41 LPGA sont applicables par analogie (art. 60 al. 2 LPGA).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17 LPA). Les délais en jours ou en mois fixés par la loi ou par l'autorité ne courent pas du 15 juillet au 15 août inclusivement (art. 38 al. 4 let. b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André GRISEL, Traité de droit administratif, p. 876 et la jurisprudence citée ; Blaise KNAPP, Précis de droit administratif, 4ème éd. 1991, n. 704 p. 153 ; Alfred KÖLZ/ Isabelle HÄNER/ Martin BERTSCHI, Verwaltungsverfahren und Verwaltungsrechtspflege des Bundes, 3ème éd. 2013, n. 577 p. 201). Lorsque la notification intervient par pli recommandé, elle est réputée parfaite lorsque l'intéressé ou toute personne qui le représente ou dont</w:t>
      </w:r>
    </w:p>
    <w:p>
      <w:r>
        <w:t>A/3553/2017 - 4/5 - on peut légitimement penser qu'elle le représente (cf. ATF 110 V 37 consid. 3) a reçu le pli ou l'a retiré au guichet postal en cas d'absence lors du passage du facteur (arrêt du Tribunal fédéral des assurances C 24/05 du 11 avril 2005 consid. 4.1). En l'espèce, il ressort du dossier que la décision litigieuse a été notifiée à la recourante le 27 juin 2017. Le délai de recours a donc commencé à courir le lendemain, soit le 28 juin pour venir à échéance, compte tenu des suspensions de délais du 15 juillet au 15 août, le lundi 28 août 2017. Le recours, daté du 29 août 2017 et posté le même jour - ainsi qu’en atteste le timbre apposé par la poste sur l’enveloppe l’ayant contenu -, est dès lors intervenu tardivement.</w:t>
      </w:r>
    </w:p>
    <w:p>
      <w:r>
        <w:rPr>
          <w:b/>
        </w:rPr>
        <w:t>E. 4</w:t>
      </w:r>
    </w:p>
    <w:p>
      <w:r>
        <w:t>Il est vrai que l'art. 41 LPGA permet une restitution de délai au requérant empêché sans sa faute d'agir dans le délai fixé, pour autant cependant que, dans les trente jours à compter de celui où l'empêchement a cessé, le requérant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du Tribunal fédéral 8C_767/2008 du 12 janvier 2009, consid. 5.3.1).</w:t>
      </w:r>
    </w:p>
    <w:p>
      <w:r>
        <w:rPr>
          <w:b/>
        </w:rPr>
        <w:t>E. 5</w:t>
      </w:r>
    </w:p>
    <w:p>
      <w:r>
        <w:t>En l’espèce, aucune demande de restitution du délai n’a été formulée, ni aucun motif en ce sens invoqué. Ce n’est que lorsqu’elle a été interpellée par la Cour de céans que la recourante a allégué avoir été mal renseignée, ce qu’elle n’est pas en mesure de démontrer au degré de vraisemblance prépondérante requis. Il paraît en effet peu crédible qu’un collaborateur de l’intimé ait fourni des renseignements erronés sur un point qui prête aussi peu à confusion. Au demeurant, les dates des suspensions de délais estivales ressortent clairement des dispositions de la LPGA auxquelles renvoie expressément la décision litigieuse. Dans ces conditions, le principe selon lequel nul ne saurait tirer des avantages de son ignorance du droit peut trouver application. Il n’est dès lors pas établi que la recourante aurait été empêchée, sans faute, d’agir dans le délai fixé. Au vu de ce qui précède, une restitution de délai n’entre pas en considération, de sorte que le recours doit être déclaré irrecevable pour cause de tardiveté.</w:t>
      </w:r>
    </w:p>
    <w:p>
      <w:r>
        <w:t>A/3553/2017 - 5/5 -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