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ATAS/904/2010 vom 1. September 2010</w:t>
      </w:r>
    </w:p>
    <w:p>
      <w:r>
        <w:t>GE Cour de justice, 2010-09-01, FR</w:t>
      </w:r>
    </w:p>
    <w:p>
      <w:r>
        <w:rPr>
          <w:b/>
        </w:rPr>
        <w:t xml:space="preserve">Quelle: </w:t>
      </w:r>
      <w:r>
        <w:t>https://mcp.opencaselaw.ch/entscheid/ge_gerichte_ATAS_904_2010</w:t>
      </w:r>
    </w:p>
    <w:p>
      <w:r>
        <w:t>FR: GE_GERICHTE ATAS/904/2010 du 1 septembre 2010</w:t>
      </w:r>
    </w:p>
    <w:p>
      <w:r>
        <w:t>IT: GE_GERICHTE ATAS/904/2010 del 1 settembre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Sur le plan de la procédure, les nouvelles dispositions y relatives sont applicables, sauf dispositions transitoires contraires, à tous les cas en cours, dès l’entrée en vigueur du nouveau droit (ATF 129 V 113 consid. 2.2). En l'espèce, l'objet du litige porte sur une demande de prestations du 18 septembre 2006. La loi fédérale sur la partie générale du droit des assurances sociales, du 6 octobre 2000 (LPGA ; RS 830.1) est entrée en vigueur le 1er janvier 2003 et s'applique donc au cas d'espèce. Tel est également le cas des modifications de la LAI du 21 mars 2003 (4ème révision), entrées en vigueur le 1er janvier 2004 et celles d 6 octobre 2006 (5ème révision de la LAI), entrées en vigueur le 1er janvier 2008.</w:t>
      </w:r>
    </w:p>
    <w:p>
      <w:r>
        <w:t>A/1022/2010 - 6/9 -</w:t>
      </w:r>
    </w:p>
    <w:p>
      <w:r>
        <w:rPr>
          <w:b/>
        </w:rPr>
        <w:t>E. 3</w:t>
      </w:r>
    </w:p>
    <w:p>
      <w:r>
        <w:t>a)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b)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Dès lors que, dans tous les cas, seul le dispositif d’une décision est attaquable, il convient d’examiner, lorsque ce sont les motifs d’une décision d’octroi de prestations qui sont contestés, si c’est en réalité une modification du dispositif qui est demandée. Si l’assuré ne demande pas une modification du dispositif, il faut examiner s’il a un intérêt digne de protection à la constatation immédiate du point litigieux contenu dans la décision attaquée (ATF 115 V 418 consid. 3b/aa, et les références ; ATFA du 7 juin 2002, I 416/01 consid. 1). c) Enfin,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(ATFA du 21 mai 2010, 9C_14/2010 consid. 3.1).</w:t>
      </w:r>
    </w:p>
    <w:p>
      <w:r>
        <w:rPr>
          <w:b/>
        </w:rPr>
        <w:t>E. 4</w:t>
      </w:r>
    </w:p>
    <w:p>
      <w:r>
        <w:t>a) A titre liminaire, se pose la question de savoir si le courrier de la recourante du 11 mars 2010 adressé à l'intimé doit être considéré comme un recours. Faute de réaction de la recourante, représentée par une avocate, suite à l'ouverture de la présente procédure, il sera considéré en tant que tel.</w:t>
      </w:r>
    </w:p>
    <w:p>
      <w:r>
        <w:t>A/1022/2010 - 7/9 - A considérer que le présent recours doit être déclaré recevable, dès lors qu'il a été déposé dans les forme et délai prévus par la loi, (art. 56 à 61 LPGA), la question peut rester ouverte dès lors que le recours devra être rejeté les motifs qui suivent. La recourante ne conteste pas la décision de l'intimé en tant qu'il ne lui est pas octroyé une rente d'invalidité, mais uniquement en raison du fait qu'il n'est pas mentionné, dans la décision querellée, le taux exact d'invalidité. Ce n'est donc pas le dispositif de la décision qu'elle attaque, mais bien sa motivation (les motifs de la décision), étant rappelé que le degré d'invalidité fondant le droit à une rente ne constitue, à cet égard, que la motivation de la décision (cf. ATFA du 7 juin 2003 I 416/01 consid. 1). Aussi, il y a lieu d'examiner si la recourante peut se prévaloir d'un intérêt digne de protection à la constatation du degré d'invalidité, cette question portant, au final, sur sa qualité pour recourir, à savoir si l'assurée a un intérêt digne de protection à recourir contre la décision querellée. b) La finalité de la demande de la recourante à ce qu'il soit constaté le taux d'invalidité est de pouvoir s'en prévaloir auprès de la Nationale Suisse Assurances, afin que cette dernière compagnie octroie à la recourante une rente d'invalidité de 35 % en lieu et place d'une rente actuelle de 25 %. Le droit de l'assurée à recourir contre la décision querellée à ce sujet ne saurait être admis. En effet, la Nationale Suisse Assurances, à quelque titre qu'elle intervienne (assurance perte de gain en cas de maladie, assurance complémentaire en cas d'invalidité, etc.), est à même de déterminer, sur la base du dossier établi par l'intimé en sa possession, cas échéant sur la base de son propre dossier, le taux d'invalidité de la recourante, sans que cette question doit être précisément tranchée par l'intimé. Par ailleurs, le cas d'espèce présente des particularités propres à l'assurance-invalidité, dès lors qu'un statut mixte (parts actives et ménagères) a été retenu. Cette notion n'est, en général, pas connu des autres assurances sociales et privées. Il est enfin peu probable que la Nationale Suisse Assurances soit liée par la décision querellée, ou du moins par ses motifs. Aussi, arrêter un taux d'invalidité, qui n'ouvrirait dans tous les cas pas le droit à une rente, ce qu'admet expressément la recourante dans le cadre de son recours, ne lui serait d'aucun secours vis-à-vis de la Nationale Suisse Assurances. Il appartient à la Nationale Suisse Assurances d'établir le taux d'invalidité selon les dispositions légales et conventionnelles applicables à cette relation d'assurance, de sorte que les motifs de la décision querellée ne portent aucun préjudice à la recourante. Faute d'intérêt digne de protection, le Tribunal de céans ne saurait admettre le droit de l'assurée de recourir contre la décision querellée. Le recours sera donc rejeté dans la mesure de sa recevabilité.</w:t>
      </w:r>
    </w:p>
    <w:p>
      <w:r>
        <w:t>A/1022/2010 - 8/9 -</w:t>
      </w:r>
    </w:p>
    <w:p>
      <w:r>
        <w:rPr>
          <w:b/>
        </w:rPr>
        <w:t>E. 5</w:t>
      </w:r>
    </w:p>
    <w:p>
      <w:r>
        <w:t>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w:t>
      </w:r>
    </w:p>
    <w:p>
      <w:r>
        <w:t>A/1022/2010 - 9/9 -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