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ATAS/903/2016 vom 3. November 2016</w:t>
      </w:r>
    </w:p>
    <w:p>
      <w:r>
        <w:t>GE Cour de justice, 2016-11-03, FR</w:t>
      </w:r>
    </w:p>
    <w:p>
      <w:r>
        <w:rPr>
          <w:b/>
        </w:rPr>
        <w:t xml:space="preserve">Quelle: </w:t>
      </w:r>
      <w:r>
        <w:t>https://mcp.opencaselaw.ch/entscheid/ge_gerichte_ATAS_903_2016</w:t>
      </w:r>
    </w:p>
    <w:p>
      <w:r>
        <w:t>FR: GE_GERICHTE ATAS/903/2016 du 3 novembre 2016</w:t>
      </w:r>
    </w:p>
    <w:p>
      <w:r>
        <w:t>IT: GE_GERICHTE ATAS/903/2016 del 3 novembre 2016</w:t>
      </w:r>
    </w:p>
    <w:p>
      <w:pPr>
        <w:pStyle w:val="Heading2"/>
      </w:pPr>
      <w:r>
        <w:t>Regeste</w:t>
      </w:r>
    </w:p>
    <w:p>
      <w:r>
        <w:t>Résumé: Est assimilée à une renonciation à une pension alimentaire pour l'enfant, le refus de la mère de révéler l'identité du père, à moins que l'intérêt de la mère et de l'enfant à ce que l'identité reste secrète soit prépondérant (lorsque l'enfant est issu d'un viol ou que son père est un délinquant de crimes abjectes). Les motifs d'ordre personnel de la mère ne peuvent pas justifier le refus de communiquer le nom du père.</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présent recours a été interjeté en temps utile, soit dans le délai légal de 30 jours à compter de la notification de la décision attaquée (art. 43 LPCC). Il satisfait également aux exigences de forme et de contenu prescrites par l’art. 89B de la loi sur la procédure administrative du 12 septembre 1985 (LPA - E 5 10). Le recours sera donc déclaré recevable.</w:t>
      </w:r>
    </w:p>
    <w:p>
      <w:r>
        <w:rPr>
          <w:b/>
        </w:rPr>
        <w:t>E. 3</w:t>
      </w:r>
    </w:p>
    <w:p>
      <w:r>
        <w:t>L’objet du litige est la question de savoir si l’intimé était fondé de prendre en compte dans son calcul des prestations complémentaires familiales (ci-après: PCFam) une pension alimentaire hypothétique pour l’enfant B______ C______ de la recourante. Il convient particulièrement de déterminer si le fait de taire le nom du</w:t>
      </w:r>
    </w:p>
    <w:p>
      <w:r>
        <w:t>A/2324/2016 - 4/9 - père d’un enfant doit être considéré comme une renonciation à des prestations et ainsi être assimilé à un dessaisissement.</w:t>
      </w:r>
    </w:p>
    <w:p>
      <w:r>
        <w:rPr>
          <w:b/>
        </w:rPr>
        <w:t>E. 4</w:t>
      </w:r>
    </w:p>
    <w:p>
      <w:r>
        <w:t>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LPGA et ses dispositions d’exécution, applicables à titre de droit cantonal supplétif (ATF 138 I 232 consid. 2.4 ; arrêt du Tribunal fédéral 9C_670/2015 du 7 janvier 2016 consid. 3.1).</w:t>
      </w:r>
    </w:p>
    <w:p>
      <w:r>
        <w:rPr>
          <w:b/>
        </w:rPr>
        <w:t>E. 5</w:t>
      </w:r>
    </w:p>
    <w:p>
      <w:r>
        <w:t>a. Les PCFam ont été introduites dans la législation genevoise par une loi 10600 du 11 février 2011 modifiant la LPCC, dès le 1er novembre 2012. L'exposé des motifs du projet de loi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w:t>
      </w:r>
    </w:p>
    <w:p>
      <w:r>
        <w:t>A/2324/2016 - 5/9 -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 Dans la mesure où l’art. 19 al. 1 RPCFam fait référence, sur le plan du principe, à l’art. 11 al. 1 let. g LPC, il est utile de mentionner les directives concernant les prestations complémentaires à l’AVS et à l’AI (ci-après : DPC, valables dès le 1er avril 2011), qui comportent notamment les indications suivantes sur le sujet considéré, même si elles ne sont pas directement applicables en matière de PCFam :  n. 3481.01 : Il faut en principe considérer comme revenus tous les éléments de revenu et de fortune auxquels il a été renoncé (art. 11 al. 1 let. g LPC) ; ils sont pris en compte dans le calcul PC comme s’il n’y avait pas été renoncé.  n. 3482.09 :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 n. 3491.04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w:t>
      </w:r>
    </w:p>
    <w:p>
      <w:r>
        <w:t>A/2324/2016 - 6/9 - pas en mesure de les verser, etc.166) et qu’il n’existe aucun droit à obtenir des avances correspondantes.  3491.05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 n. 3491.06 : Si la contribution d’entretien repose sur un contrat qui n’a pas été approuvé par le juge ou une autorité compétente, l’organe PC tient compte de la contribution convenue pour autant que son montant ne soit pas manifestement trop bas.  n. 3493.01 : Si aucune contribution d’entretien n’a été prévue en faveur des enfants, l’organe PC doit déterminer une éventuelle obligation y relative et en fixer le montant à prendre en compte sur la base des critères suivants : - 3493.02.1/14 :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pour un enfant, de 27% pour deux enfants et de 35% pour trois enfants. Les PC ne sauraient être additionnées au revenu déterminant pour fixer le montant de la contribution d’entretien. e.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w:t>
      </w:r>
    </w:p>
    <w:p>
      <w:r>
        <w:t>A/2324/2016 - 7/9 -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w:t>
      </w:r>
    </w:p>
    <w:p>
      <w:r>
        <w:rPr>
          <w:b/>
        </w:rPr>
        <w:t>E. 5.4</w:t>
      </w:r>
    </w:p>
    <w:p>
      <w:r>
        <w:t>p. 246). Il est à rappeler à cet égard qu'une atteinte à la personnalité est illicite, selon l'art. 28 al. 2 CC, si elle n'est pas justifiée par un intérêt prépondérant privé ou public ou par la loi. b. Compte tenu de ce qui précède, il y a lieu de déterminer si en l'occurrence il est dans l'intérêt de l'enfant que l'identité du père ne soit pas dévoilée. Cela pourrait être le cas exceptionnellement dans certaines situations très particulières et graves, par exemple lorsque l’enfant est issu d’un viol ou que son père soit un délinquant de crimes abjectes. De tels motifs ne sont cependant pas invoqués par la recourante. Le seul fait que le père est un manipulateur et qu'il a profondément blessé la recourante ne permet pas de considérer qu'il soit préférable que l'enfant ne connaisse pas son père, et de le priver de son droit à être entretenu par celui-ci. Par rapport à l’intérêt de l’enfant, l’intérêt de la mère à ne plus avoir de contact avec le père et à ce que l'identité de celui-ci ne soit pas connue paraît mineur. Il n'y a ainsi pas de circonstances justifiant le refus d’indiquer le nom du père aux autorités, l'atteinte à la protection de la personnalité de la mère ne pouvant être qualifiée d'illicite. Cela étant, il y a lieu d'admettre que la recourante a renoncé à son droit de réclamer au père une pension alimentaire, de sorte que l'intimé est en droit de prendre en considération une pension hypothétique dans les revenus de la mère. Il n'est en outre pas établi ni même allégué que le père ne serait pas en mesure de faire face à son obligation.</w:t>
      </w:r>
    </w:p>
    <w:p>
      <w:r>
        <w:rPr>
          <w:b/>
        </w:rPr>
        <w:t>E. 6</w:t>
      </w:r>
    </w:p>
    <w:p>
      <w:r>
        <w:t>Selon la jurisprudence de la chambre de céans, une personne qui n'a pas entrepris, à la naissance de l'enfant, de démarches en vue de faire signer au père de l'enfant commun un engagement de payer une pension alimentaire ou de la réclamer par la voie judiciaire, renonce à faire valoir un droit à un revenu au sens de l'art. 19 al. 1 RPCFam, de sorte qu'un revenu hypothétique doit être pris en compte dans le calcul du droit aux prestations complémentaires familiales. Cette renonciation déploie ses effets au-delà du jour où le père de l'enfant quitte la Suisse pour s'installer à un lieu inconnu à l'étranger et ne donne plus de signes de vie, de sorte que les conséquences de l'inaction de la mère en temps utile lui sont durablement opposables, nonobstant ses efforts, au moment de la procédure, de retrouver le père (ATAS/58/2016 consid. 5).</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la recourante a toujours refusé de révéler le nom du père pour des raisons personnelles. Il sied dès lors de déterminer s'il existe un droit de la mère de taire l'identité du père, hypothèse dans laquelle une renonciation à des revenus ne pourrait être retenue. a. Selon la jurisprudence du Tribunal fédéral au sujet de la nomination d'un curateur de paternité, lorsque le père est inconnu, le curateur ne peut renoncer à l'action de paternité que dans l'intérêt de l'enfant et non pas dans celui des parents à ne pas voir dévoilée une relation susceptible de compromettre leur propre relation. Toutefois, même dans l'hypothèse où l'intérêt de l'enfant s'oppose en principe à ce que le père soit déterminé, l'enfant conserve le droit d'intenter une action en paternité en son propre nom (arrêt du Tribunal fédéral 5A_ 220/2016 du 15 juillet 2016 consid. 3.2). L'intérêt de l'enfant comprend la satisfaction de ses besoins matériels et tout ce qui est propre à favoriser et à protéger son développement corporel, intellectuel et moral, selon l'art. 320 al. 1 du Code civil suisse du 10 décembre 1907 (CC - RS 210). L'enfant a un droit à une contribution d'entretien, dont l'exercice dépend de l'établissement de la filiation, condition nécessaire de l'obligation d'entretien. Il a</w:t>
      </w:r>
    </w:p>
    <w:p>
      <w:r>
        <w:t>A/2324/2016 - 8/9 - également le droit de faire établir sa filiation paternelle (arrêt du Tribunal fédéral op. cit. et consid. 3.1). Le droit de connaître son ascendance fait partie du droit au respect de la vie privée consacré par l'art. 8 de la Convention de sauvegarde des droits de l’homme et des libertés fondamentales du 4 novembre 1950 (CEDH - RS 0.101), selon la jurisprudence de la Cour européenne des droits de l'homme (arrêt de la CrEDH Jäggi contre Suisse du 13 juillet 2006, VPB 70/2006 n° 116 p. 1894; ATF 134 III 241 consid. 5 p. 242 ss). Toutefois, l'intérêt de l'enfant, relevant de ses droits personnels, de connaître son ascendance trouve sa limite dans l'intérêt prépondérant à la protection de la personnalité des parents (ATF 134 III 241 consid.</w:t>
      </w:r>
    </w:p>
    <w:p>
      <w:r>
        <w:rPr>
          <w:b/>
        </w:rPr>
        <w:t>E. 9</w:t>
      </w:r>
    </w:p>
    <w:p>
      <w:r>
        <w:t>Dans la mesure où la recourante ne met pas en cause le montant du revenu hypothétique pris en considération à titre de contribution à l'entretien de l'enfant et que celui-ci est, au demeurant, conforme aux dispositions légales, le recours doit être rejeté.</w:t>
      </w:r>
    </w:p>
    <w:p>
      <w:r>
        <w:rPr>
          <w:b/>
        </w:rPr>
        <w:t>E. 10</w:t>
      </w:r>
    </w:p>
    <w:p>
      <w:r>
        <w:t>La procédure est gratuite.</w:t>
      </w:r>
    </w:p>
    <w:p>
      <w:r>
        <w:t>***</w:t>
      </w:r>
    </w:p>
    <w:p>
      <w:r>
        <w:t>A/2324/2016 - 9/9 -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