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ATAS/902/2023 vom 22. November 2023</w:t>
      </w:r>
    </w:p>
    <w:p>
      <w:r>
        <w:t>GE Cour de justice, 2023-11-22, FR</w:t>
      </w:r>
    </w:p>
    <w:p>
      <w:r>
        <w:rPr>
          <w:b/>
        </w:rPr>
        <w:t xml:space="preserve">Quelle: </w:t>
      </w:r>
      <w:r>
        <w:t>https://mcp.opencaselaw.ch/entscheid/ge_gerichte_ATAS_902_2023</w:t>
      </w:r>
    </w:p>
    <w:p>
      <w:r>
        <w:t>FR: GE_GERICHTE ATAS/902/2023 du 22 novembre 2023</w:t>
      </w:r>
    </w:p>
    <w:p>
      <w:r>
        <w:t>IT: GE_GERICHTE ATAS/902/2023 del 22 novembre 2023</w:t>
      </w:r>
    </w:p>
    <w:p>
      <w:pPr>
        <w:pStyle w:val="Heading2"/>
      </w:pPr>
      <w:r>
        <w:t>Erwägungen</w:t>
      </w:r>
    </w:p>
    <w:p>
      <w:r>
        <w:rPr>
          <w:b/>
        </w:rPr>
        <w:t>E. 9</w:t>
      </w:r>
    </w:p>
    <w:p>
      <w:r>
        <w:t>octobre 2019. i. L’intéressée a formé opposition à la décision précitée le 16 mai 2023. j. Par décision sur opposition du 5 juin 2023, le SPC a confirmé sa décision de refus de remise, avec en substance la même motivation. L’intéressée a formé recours contre la décision précitée le 6 juillet 2023, faisant C. a. valoir qu’elle n’avait pas eu l’intention de ne pas renseigner le SPC ni eu conscience du risque encouru. Elle souhaitait avoir une explication claire et détaillée sur le solde de la dette de CHF 41'222.60.</w:t>
      </w:r>
    </w:p>
    <w:p>
      <w:r>
        <w:t>A/2262/2023 - 5/8 - b. Le 1er septembre 2023, l’intimé a conclu au rejet du recours et précisé que le montant précité constituait une partie de la dette de la recourante envers lui, laquelle s’élevait à CHF 101'923.55. EN DROIT</w:t>
      </w:r>
    </w:p>
    <w:p>
      <w:r>
        <w:t>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 délai de recours est de trente jours (art. 56 LPGA ; art. 62 al. 1 de la loi sur la procédure administrative du 12 septembre 1985 [LPA - E 5 10]). Interjeté dans la forme et le délai prévus par la loi, le recours est recevable. 3. Le litige porte sur le bien-fondé du refus de l’intimé d’octroyer la remise de l’obligation de restituer CHF 101'923.55 au motif que la condition de la bonne foi n’était pas réalisée. 4.</w:t>
      </w:r>
    </w:p>
    <w:p>
      <w:r>
        <w:t>4.1 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 L'art. 4 de l'ordonnance fédérale sur la partie générale du droit des assurances sociales, du 11 septembre 2002 (OPGA - RS 830.11)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À teneur de l’art. 24 de la loi cantonale sur les prestations cantonales complémentaires du 25 octobre 1968 (LPCC - J 4 25), les prestations indûment touchées doivent être restituées. La restitution ne peut être exigée lorsque l'intéressé était de bonne foi et qu'elle le mettrait dans une situation difficile (al.</w:t>
      </w:r>
    </w:p>
    <w:p>
      <w:r>
        <w:t>A/2262/2023 - 6/8 - 1). Le règlement fixe la procédure de la demande de remise ainsi que les conditions de la situation difficile (al. 2). L’art. 15 al. 1 du règlement relatif aux prestations cantonales complémentaires à l'assurance-vieillesse et survivants et à l’assurance-invalidité du 25 juin 1999 (RPCC-AVS/AI - J 4 25.03) prévoit que la restitution entière ou partielle des prestations allouées indûment, mais reçues de bonne foi, ne peut être exigée si l'intéressé se trouve dans une situation difficile La demande de remise doit être présentée par écrit. Elle doit être motivée, accompagnée des pièces utiles et déposée au plus tard trente jours à compter de l'entrée en force de la décision en restitution (al. 2). La remise fait l'objet d'une décision (al. 3). 4.2 Savoir si la condition de la bonne foi, présumée en règle générale (art. 3 du Code civil suisse, du 10 décembre 1907 -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 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 Sylvie PÉTREMAND, in Commentaire romand, LPGA, 2018, n. 69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w:t>
      </w:r>
    </w:p>
    <w:p>
      <w:r>
        <w:t>A/2262/2023 - 7/8 -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112 V 97 consid. 2c ; arrêts du Tribunal fédéral 9C_16/2019 précité consid. 4 et 9C_14/2007 du 2 mai 2007 consid. 4 ; DTA 2003 n° 29 p. 260 consid. 1.2 et les références ; RSAS 1999 p. 384 ; Ueli KIESER, Kommentar zum Bundesgesetz über den Allgemeinen Teil des Sozialversicherungsrechts - ATSG, 2020, n. 65 ad art. 25 LPGA). 5. En l’espèce, la chambre de céans a déjà considéré que la recourante ne pouvait être considérée de bonne foi dans son arrêt du 9 octobre 2019, dans le cadre de l’examen du délai de péremption de la demande de restitution du SPC, et en particulier, de l’application de l’art. 31 la. 1 let. d LPC, qui punit celui qui manque à son obligation de communiquer à une peine pécuniaire. Pour les mêmes motifs, la bonne foi ne peut lui être reconnue dans le cadre de sa demande de remise. En effet, la recourante ne pouvait ignorer que l’immeuble en cause – qui faisait partie de la succession non partagée de feu sa mère dont elle était la seule héritière avec sa sœur – devait être annoncé à l’intimé, puisque les formulaires de demande de prestations complémentaires et de révision qu’elle a signés en juin 2009 et 2013 lui demandaient expressément si elle avait des parts dans une succession non partagée et si elle était propriétaire d’un immeuble en Suisse ou à l’étranger. Si elle n’était pas au clair sur la portée de ces demandes, elle devait se renseigner à ce sujet auprès de l’intimé. De plus, ce dernier avait adressé à son époux les communications importantes annuelles, qui attiraient son attention sur son devoir de signaler tout changement dans sa situation personnelle et financière, notamment en cas d’héritage. Elle devait prendre connaissance de ces communications étant également bénéficiaire des prestations. En conséquence, la recourante ne s’est pas conformée à ce qui pouvait raisonnablement être exigé d’elle dans sa situation, de sorte que c’est à juste titre que l’intimé a retenu que la condition de la bonne foi n’était pas réalisée. 6. Au vu de ce qui précède, le recours est rejeté. Pour le surplus, la procédure est gratuite (art. 61 let. fbis LPGA a contrario).</w:t>
      </w:r>
    </w:p>
    <w:p>
      <w:r>
        <w:t>A/2262/2023 - 8/8 -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