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ATAS/902/2013 vom 24. Juni 2008</w:t>
      </w:r>
    </w:p>
    <w:p>
      <w:r>
        <w:t>GE Cour de justice, 2008-06-24, FR</w:t>
      </w:r>
    </w:p>
    <w:p>
      <w:r>
        <w:rPr>
          <w:b/>
        </w:rPr>
        <w:t xml:space="preserve">Quelle: </w:t>
      </w:r>
      <w:r>
        <w:t>https://mcp.opencaselaw.ch/entscheid/ge_gerichte_ATAS_902_2013</w:t>
      </w:r>
    </w:p>
    <w:p>
      <w:r>
        <w:t>FR: GE_GERICHTE ATAS/902/2013 du 24 juin 2008</w:t>
      </w:r>
    </w:p>
    <w:p>
      <w:r>
        <w:t>IT: GE_GERICHTE ATAS/902/2013 del 24 giugno 2008</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loi sur la partie générale des assurances sociales (LPGA), entrée en vigueur le 1er janvier 2003, est applicable au cas d’espèce.</w:t>
      </w:r>
    </w:p>
    <w:p>
      <w:r>
        <w:t>- 9/12-</w:t>
      </w:r>
    </w:p>
    <w:p>
      <w:r>
        <w:t>A/3799/2011</w:t>
      </w:r>
    </w:p>
    <w:p>
      <w:r>
        <w:rPr>
          <w:b/>
        </w:rPr>
        <w:t>E. 3</w:t>
      </w:r>
    </w:p>
    <w:p>
      <w:r>
        <w:t>Le recours, déposé dans les formes et délai prévus par la loi est recevable à la forme (art. 56 et 60 LPGA).</w:t>
      </w:r>
    </w:p>
    <w:p>
      <w:r>
        <w:rPr>
          <w:b/>
        </w:rPr>
        <w:t>E. 4</w:t>
      </w:r>
    </w:p>
    <w:p>
      <w:r>
        <w:t>Le litige porte sur la question de savoir si la recourante a droit à une rente entière dès le 1er avril 2009, comme elle le soutient.</w:t>
      </w:r>
    </w:p>
    <w:p>
      <w:r>
        <w:rPr>
          <w:b/>
        </w:rPr>
        <w:t>E. 5</w:t>
      </w:r>
    </w:p>
    <w:p>
      <w:r>
        <w:t>La question préalable à l’examen d’éventuelles prestations à résoudre est de savoir comment a évolué l'état de santé de la recourante, en particulier sur le plan psychique.</w:t>
      </w:r>
    </w:p>
    <w:p>
      <w:r>
        <w:rPr>
          <w:b/>
        </w:rPr>
        <w:t>E. 6</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w:t>
      </w:r>
    </w:p>
    <w:p>
      <w:r>
        <w:rPr>
          <w:b/>
        </w:rPr>
        <w:t>E. 7</w:t>
      </w:r>
    </w:p>
    <w:p>
      <w:r>
        <w:t>Indiquer l'évolution du taux d'incapacité de travail, en pourcent, depuis juin 2008, en ne tenant compte que des véritables limitations dues aux atteintes et non d'éventuels facteurs psychosociaux.</w:t>
      </w:r>
    </w:p>
    <w:p>
      <w:r>
        <w:rPr>
          <w:b/>
        </w:rPr>
        <w:t>E. 8</w:t>
      </w:r>
    </w:p>
    <w:p>
      <w:r>
        <w:t>Une aggravation est-elle survenue depuis l'expertise du CEMed du 22 février 2010 ?</w:t>
      </w:r>
    </w:p>
    <w:p>
      <w:r>
        <w:rPr>
          <w:b/>
        </w:rPr>
        <w:t>E. 9</w:t>
      </w:r>
    </w:p>
    <w:p>
      <w:r>
        <w:t>Si l’état de santé s’est modifié au fil du temps, préciser la date de ces changements et leur contexte. Dire s'il y a une diminution de rendement et la chiffrer.</w:t>
      </w:r>
    </w:p>
    <w:p>
      <w:r>
        <w:t>- 12/12-</w:t>
      </w:r>
    </w:p>
    <w:p>
      <w:r>
        <w:t>A/3799/2011</w:t>
      </w:r>
    </w:p>
    <w:p>
      <w:r>
        <w:rPr>
          <w:b/>
        </w:rPr>
        <w:t>E. 10</w:t>
      </w:r>
    </w:p>
    <w:p>
      <w:r>
        <w:t>L’assurée dispose-t-elle encore de ressources ?</w:t>
      </w:r>
    </w:p>
    <w:p>
      <w:r>
        <w:rPr>
          <w:b/>
        </w:rPr>
        <w:t>E. 11</w:t>
      </w:r>
    </w:p>
    <w:p>
      <w:r>
        <w:t>Évaluer les chances de succès d’une réadaptation professionnelle et indiquer en quoi devrait consister celle-ci.</w:t>
      </w:r>
    </w:p>
    <w:p>
      <w:r>
        <w:rPr>
          <w:b/>
        </w:rPr>
        <w:t>E. 12</w:t>
      </w:r>
    </w:p>
    <w:p>
      <w:r>
        <w:t>Évaluer la possibilité d'améliorer la capacité de travail par des mesures médicales. Indiquer quelles seraient les propositions thérapeutiques et leur influence sur la capacité de travail.</w:t>
      </w:r>
    </w:p>
    <w:p>
      <w:r>
        <w:rPr>
          <w:b/>
        </w:rPr>
        <w:t>E. 13</w:t>
      </w:r>
    </w:p>
    <w:p>
      <w:r>
        <w:t>Commenter et discuter les avis médicaux du SMR, des experts s’étant déjà prononcés et des médecins traitants et indiquer - cas échéant - pour quelles raisons ces avis sont confirmés ou écartés (cf. notamment l’expertise du CEMED).</w:t>
      </w:r>
    </w:p>
    <w:p>
      <w:r>
        <w:rPr>
          <w:b/>
        </w:rPr>
        <w:t>E. 14</w:t>
      </w:r>
    </w:p>
    <w:p>
      <w:r>
        <w:t>Formuler un pronostic global.</w:t>
      </w:r>
    </w:p>
    <w:p>
      <w:r>
        <w:rPr>
          <w:b/>
        </w:rPr>
        <w:t>E. 15</w:t>
      </w:r>
    </w:p>
    <w:p>
      <w:r>
        <w:t>Toute remarque utile et proposition. 4. Invite l’expert à déposer à sa meilleure convenance un rapport en trois exemplaires à la Cour de céans. 5. Fixe aux parties un délai de 10 jours dès réception de la présente pour une éventuelle récusation de l'expert nommé;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