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ATAS/902/2009 vom 9. Juli 2009</w:t>
      </w:r>
    </w:p>
    <w:p>
      <w:r>
        <w:t>GE Cour de justice, 2009-07-09, FR</w:t>
      </w:r>
    </w:p>
    <w:p>
      <w:r>
        <w:rPr>
          <w:b/>
        </w:rPr>
        <w:t xml:space="preserve">Quelle: </w:t>
      </w:r>
      <w:r>
        <w:t>https://mcp.opencaselaw.ch/entscheid/ge_gerichte_ATAS_902_2009</w:t>
      </w:r>
    </w:p>
    <w:p>
      <w:r>
        <w:t>FR: GE_GERICHTE ATAS/902/2009 du 9 juillet 2009</w:t>
      </w:r>
    </w:p>
    <w:p>
      <w:r>
        <w:t>IT: GE_GERICHTE ATAS/902/2009 del 9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Déposé au Tribunal cantonal des assurances sociales le 17 octobre 2008, le recours contre la décision de l’OCAI du 19 septembre 2008 intervient en temps utile (art. 60 al. 1 LPGA). Les autres conditions prévues par les art. 56 et ss LPGA étant réalisées, le recours est recevable.</w:t>
      </w:r>
    </w:p>
    <w:p>
      <w:r>
        <w:rPr>
          <w:b/>
        </w:rPr>
        <w:t>E. 4</w:t>
      </w:r>
    </w:p>
    <w:p>
      <w:r>
        <w:t>Le litige porte sur la détermination du taux d’invalidité du recourant, et de ce fait, sur son éventuel droit à une rente d’invalidité de l’AI.</w:t>
      </w:r>
    </w:p>
    <w:p>
      <w:r>
        <w:rPr>
          <w:b/>
        </w:rPr>
        <w:t>E. 5</w:t>
      </w:r>
    </w:p>
    <w:p>
      <w:r>
        <w:t>Est réputée invalidité, l’incapacité de gain totale ou partielle présumée permanente ou de longue durée, résultant d’une infirmité congénitale, d’une maladie ou d’un</w:t>
      </w:r>
    </w:p>
    <w:p>
      <w:r>
        <w:t>A/3729/2008 - 7/11 -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w:t>
      </w:r>
    </w:p>
    <w:p>
      <w:r>
        <w:rPr>
          <w:b/>
        </w:rPr>
        <w:t>E. 6</w:t>
      </w:r>
    </w:p>
    <w:p>
      <w:r>
        <w:t>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104 V 136 consid. 2a et 2b; cf. ATF 130 V 348 consid. 3.4).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273/2006 du 21 mars 2006 et n° 191/2004 du 30.03.2004). La méthode d’évaluation se détermine en fonction des circonstances existant au moment de la prise de décision (RCC 1989 p. 127 consid. 2b).</w:t>
      </w:r>
    </w:p>
    <w:p>
      <w:r>
        <w:t>A/3729/2008 - 8/11 -</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n°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8</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w:t>
      </w:r>
    </w:p>
    <w:p>
      <w:r>
        <w:t>A/3729/2008 - 9/11 -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En l’espèce, le Tribunal ne saurait partager l’avis de l’OCAI selon lequel les revenus hypothétiques avec et sans invalidité auraient été établis de manière suffisamment fiable. En effet, le recourant a subi la pose d’une prothèse totale du genou gauche en août 2004 et son remplacement suite à une infection en mars 2006. Il souffre également du genou droit depuis à tout le moins l’été 2006 (cf avis du Dr B__________ du 24 juillet 2006) et ses médecins, de même que le SMR s’accordent sur le fait que l’activité habituelle n’est plus exigible, le recourant ne pouvant plus monter sur les toits. Or, précisément durant l’année 2004, soit peu avant la survenance de ses problèmes de santé, le recourant s’est associé à son fils. Depuis lors, l’entreprise du recourant a grandi avec la création d’un nouveau domaine d’activité (sanitaire), une augmentation notable du chiffre d’affaire et l’engagement de nouveaux employés (ouvriers et poste administratif). Il ressort de surcroît du rapport d’audit de X_________ SA du 1er octobre 2008 que ce sont les efforts du fils du recourant qui permettaient à l’entreprise de ne pas aller plus mal. Dans ces conditions, il n’est pas possible de déterminer à quelle cause (développement de l’entreprise ou invalidité du recourant) attribuer l’augmentation du chiffre d’affaire, l’engagement de la main d’œuvre (que ce soit les sous-traitants ou les employés), ainsi que la fluctuation non négligeable du résultat de l’entreprise. Par ailleurs, compte tenu des liens familiaux unissant le recourant à son fils et associé dans l’entreprise, il n’est pas établi que le salaire versé au recourant soit représentatif du travail effectué. Le rapport d’audit de X_________ SA du 1er octobre 2008 et les propos du recourant rapportés dans le rapport d’enquête pour activité professionnelle indépendante de l’OCAI du 24 juillet 2008 tendent plutôt à démontrer l’inverse. Compte tenu par ailleurs de la variation importante du bénéfice net de l’entreprise, c’est à bon droit que le recourant réclame l’application de la méthode dite extraordinaire de comparaison des revenus.</w:t>
      </w:r>
    </w:p>
    <w:p>
      <w:r>
        <w:t>A/3729/2008 - 10/11 -</w:t>
      </w:r>
    </w:p>
    <w:p>
      <w:r>
        <w:rPr>
          <w:b/>
        </w:rPr>
        <w:t>E. 10</w:t>
      </w:r>
    </w:p>
    <w:p>
      <w:r>
        <w:t>Les éléments au dossier n’étant pas suffisant pour appliquer ladite méthode, le dossier sera renvoyé à l’OCAI pour instruction complémentaire. Il s’agira de procéder à une nouvelle enquête économique, afin de déterminer les différentes activités exercées avec et sans invalidité, de même que l’empêchement et le revenu correspondant à chacune des ces activités, ceci de manière à fixer le taux d’invalidité du recourant.</w:t>
      </w:r>
    </w:p>
    <w:p>
      <w:r>
        <w:rPr>
          <w:b/>
        </w:rPr>
        <w:t>E. 11</w:t>
      </w:r>
    </w:p>
    <w:p>
      <w:r>
        <w:t>Le recours sera ainsi partiellement admis.</w:t>
      </w:r>
    </w:p>
    <w:p>
      <w:r>
        <w:rPr>
          <w:b/>
        </w:rPr>
        <w:t>E. 12</w:t>
      </w:r>
    </w:p>
    <w:p>
      <w:r>
        <w:t>Le recourant obtenant partiellement gain de cause, une indemnité de 1’500 fr. lui est octroyée, à titre de dépens.</w:t>
      </w:r>
    </w:p>
    <w:p>
      <w:r>
        <w:rPr>
          <w:b/>
        </w:rPr>
        <w:t>E. 13</w:t>
      </w:r>
    </w:p>
    <w:p>
      <w:r>
        <w:t>Un émolument de 500 fr. est mis à charge de l’intimé, qui succombe (art. 69 al. 1bis LAI)</w:t>
      </w:r>
    </w:p>
    <w:p>
      <w:r>
        <w:t>A/3729/2008 - 11/11 -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