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ATAS/901/2022 vom 12. Oktober 2022</w:t>
      </w:r>
    </w:p>
    <w:p>
      <w:r>
        <w:t>GE Cour de justice, 2022-10-12, FR</w:t>
      </w:r>
    </w:p>
    <w:p>
      <w:r>
        <w:rPr>
          <w:b/>
        </w:rPr>
        <w:t xml:space="preserve">Quelle: </w:t>
      </w:r>
      <w:r>
        <w:t>https://mcp.opencaselaw.ch/entscheid/ge_gerichte_ATAS_901_2022</w:t>
      </w:r>
    </w:p>
    <w:p>
      <w:r>
        <w:t>FR: GE_GERICHTE ATAS/901/2022 du 12 octobre 2022</w:t>
      </w:r>
    </w:p>
    <w:p>
      <w:r>
        <w:t>IT: GE_GERICHTE ATAS/901/2022 del 12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56 à 61 LPGA).</w:t>
      </w:r>
    </w:p>
    <w:p>
      <w:r>
        <w:rPr>
          <w:b/>
        </w:rPr>
        <w:t>E. 3</w:t>
      </w:r>
    </w:p>
    <w:p>
      <w:r>
        <w:t>Le litige porte sur le bien-fondé de la suspension de trente-quatre jours de l’indemnité de chômage infligée au recourant pour refus d’un emploi convenable.</w:t>
      </w:r>
    </w:p>
    <w:p>
      <w:r>
        <w:rPr>
          <w:b/>
        </w:rPr>
        <w:t>E. 4.1</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w:t>
      </w:r>
    </w:p>
    <w:p>
      <w:r>
        <w:t>A/1463/2022 - 6/9 - valable, ou encore compromet ou empêche, par son comportement, le déroulement de la mesure ou la réalisation de son but.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45 al. 2 et 3 OACI.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Selon l'échelle des suspensions établie par le SECO à l'intention de l'autorité cantonale et des ORP, le refus d'un emploi convenable ou en gain intermédiaire pour une durée de six mois assigné à l'assuré, ou qu'il a trouvé lui-même, est sanctionné, pour un premier refus, par une suspension du droit à l'indemnité de 34 à 41 jours (Bulletin LACI D79. 2.A.9).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A/1463/2022 - 7/9 -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 principe de l'instruction en vigueur dans la procédure en matière d'assurances sociales exclut, par définition, le fardeau de la preuve au sens de son administration, étant donné qu'il incombe au tribunal des assurances sociales ou à l’administration qui a rendu la décision de réunir les éléments de preuve (art. 43 al. 1 et art. 61 let. c LPGA). Dans le procès en matière d'assurances sociales, les parties ne supportent donc en général le fardeau de la preuve que dans la mesure où, en l'absence de preuve, la décision est rendue au détriment de la partie qui voulait déduire des droits des faits non prouvés.</w:t>
      </w:r>
    </w:p>
    <w:p>
      <w:r>
        <w:rPr>
          <w:b/>
        </w:rPr>
        <w:t>E. 4.3</w:t>
      </w:r>
    </w:p>
    <w:p>
      <w:r>
        <w:t>Selon l’art. 1 de la loi fédérale du 30 mars 1911, complétant le Code civil suisse (CO - RS 220), le contrat est parfait lorsque les parties ont, réciproquement et d’une manière concordante, manifesté leur volonté (al. 1). Cette manifestation peut être expresse ou tacite (al. 2). Selon l’art. 2 CO, si les parties se sont mises d’accord sur tous les points essentiels, le contrat est réputé conclu, lors même que des points secondaires ont été réservés (al. 1). À défaut d’accord sur les points secondaires, le juge les règle en tenant compte de la nature de l’affaire. Sont réservées les dispositions qui régissent la forme des contrats (al. 3). Selon l’art. 16 CO, les parties qui ont convenu de donner une forme spéciale à un contrat pour lequel la loi n’en exige point, sont réputées n’avoir entendu se lier que dès l’accomplissement de cette forme (al. 1). S’il s’agit de la forme écrite, sans indication plus précise, il y a lieu d’observer les dispositions relatives à cette forme lorsqu’elle est exigée par la loi (al. 2). Selon l’art. 319 al. 1 CO, par le contrat individuel de travail, le travailleur s’engage, pour une durée déterminée ou indéterminée, à travailler au service de l’employeur et celui-ci à payer un salaire fixé d’après le temps ou le travail fourni (salaire aux pièces ou à la tâche). À teneur de l’art. 320 al. 1 CO, sauf disposition contraire de la loi, le contrat individuel de travail n’est soumis à aucune forme spéciale.</w:t>
      </w:r>
    </w:p>
    <w:p>
      <w:r>
        <w:rPr>
          <w:b/>
        </w:rPr>
        <w:t>E. 5</w:t>
      </w:r>
    </w:p>
    <w:p>
      <w:r>
        <w:t>En l’espèce, le recourant n’a pas passé le test qui lui était demandé par C______ dans le délai imparti, soit au 27 décembre 2021. Il n’a pas pu apporter la preuve qu’il avait passé un contrat oral avec D______ avant le contrat écrit du 29 décembre 2021. Ses déclarations selon lesquelles il aurait passé un contrat oral avec cette société le 17 ou le 20 décembre 2021 ne suffisent pas à établir ce fait. L’audition du CEO de D______ n’apparaît pas en mesure de l’établir, vu le litige de cette société avec le recourant et le fait qu’il est peu probable qu’il soit en mesure de dater précisément et de manière probante le jour d’un accord oral valant contrat, vu le temps passé. Le message que le recourant a adressé à sa</w:t>
      </w:r>
    </w:p>
    <w:p>
      <w:r>
        <w:t>A/1463/2022 - 8/9 - compagne le 16 décembre 2021 ne l’établit pas non plus, dès lors qu’il en ressort qu’un accord n’était pas encore intervenu sur son salaire, soit un élément essentiel du contrat, pas plus que le message du CEO de D______ au recourant lui demandant son adresse pour établir le contrat. Quoi qu’il en soit, dans la mesure où le recourant et D______ ont convenu de faire un contrat de travail écrit, ils sont réputés, en application de l’art. 16 CO, n’avoir entendu se lier que dès l’accomplissement de cette forme, à savoir en l’occurrence dès le 29 décembre 2021. Tant que l’engagement avec D______ n’était pas formellement conclu, le recourant devait donner suite à l’assignation qui lui avait été notifiée pour le poste de C______ et faire le maximum pour faire aboutir sa postulation, en passant le test demandé. Le fait que le recourant pensait avoir peu de chance d’obtenir ce poste ne justifiait pas qu’il ne donne pas suite à la demande de test. Ce faisant, le recourant a pris le risque de laisser échapper une chance d'obtenir un emploi convenable pour une durée déterminée d’un an et c’est à juste titre qu’il a été sanctionné par l’intimé. La sanction prononcée respecte le barème du SECO et le principe de la proportionnalité, ce d’autant plus qu’elle correspond à un refus d’emploi convenable d’une durée de six mois et que dans le cas présent le contrat était d’un an renouvelable.</w:t>
      </w:r>
    </w:p>
    <w:p>
      <w:r>
        <w:rPr>
          <w:b/>
        </w:rPr>
        <w:t>E. 6</w:t>
      </w:r>
    </w:p>
    <w:p>
      <w:r>
        <w:t>Infondé, le recours sera rejeté.</w:t>
      </w:r>
    </w:p>
    <w:p>
      <w:r>
        <w:rPr>
          <w:b/>
        </w:rPr>
        <w:t>E. 7</w:t>
      </w:r>
    </w:p>
    <w:p>
      <w:r>
        <w:t>La procédure est gratuite (art. 61 let. g LPGA).</w:t>
      </w:r>
    </w:p>
    <w:p>
      <w:r>
        <w:t>A/1463/2022 - 9/9 -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