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ATAS/901/2021 vom 2. September 2021</w:t>
      </w:r>
    </w:p>
    <w:p>
      <w:r>
        <w:t>GE Cour de justice, 2021-09-02, FR</w:t>
      </w:r>
    </w:p>
    <w:p>
      <w:r>
        <w:rPr>
          <w:b/>
        </w:rPr>
        <w:t xml:space="preserve">Quelle: </w:t>
      </w:r>
      <w:r>
        <w:t>https://mcp.opencaselaw.ch/entscheid/ge_gerichte_ATAS_901_2021</w:t>
      </w:r>
    </w:p>
    <w:p>
      <w:r>
        <w:t>FR: GE_GERICHTE ATAS/901/2021 du 2 septembre 2021</w:t>
      </w:r>
    </w:p>
    <w:p>
      <w:r>
        <w:t>IT: GE_GERICHTE ATAS/901/2021 del 2 settembre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L'art. 61 LPGA prévoit que la procédure devant la chambre des assurances sociales est réglée par le droit cantonal, sous réserve de ce que celui-ci respecte les exigences minimales requises par la LPGA. Les art. 38 à 41 LPGA sont applicables</w:t>
      </w:r>
    </w:p>
    <w:p>
      <w:r>
        <w:t>A/2337/2020 - 4/12 - par analogie au délai de recours (art. 60 al. 2 LPGA). Les dispositions de la loi sur la procédure administrative du 12 septembre 1985 - LPA - E 5 10) sont applicables devant la chambre des assurances sociales de la Cour de justice en tant qu'il n'y est pas dérogé par le Titre IVA de la LPA (art. 89A LPA). Les décisions sur opposition et celles contre lesquelles la voie de l’opposition n’est pas ouverte sont sujettes à recours dans les trente jours suivant la notification de la décision sujette à recours (art. 38 al. 1, 56 al. 1 et 60 al. 1 LPGA; art. 62 al. 1 phr. 1 et 63 al. 1 let. a LPA). Les délais en jours ou en mois fixés par la loi ou par l'autorité ne courent du 15 juillet au 15 août inclusivement (art. 38 al. 4 let. b LPGA et art. 89C let. b LPA). b. L'art. 61 let. b LPGA précise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c. Selon l’art. 9 al. 1 LPA, applicable devant la chambre de céans par renvoi de l’art. 89A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En possession d’un acte émanant d’un mandataire qui ne peut être reconnu, un bref délai doit être accordé à l’administré pour venir signer personnellement et ratifier les actes déposés en son nom, quand bien même cela interviendrait hors délai (ATA/53/ 2015).</w:t>
      </w:r>
    </w:p>
    <w:p>
      <w:r>
        <w:rPr>
          <w:b/>
        </w:rPr>
        <w:t>E. 3</w:t>
      </w:r>
    </w:p>
    <w:p>
      <w:r>
        <w:t>En l’espèce, par courrier du 24 juin 2020, le Dr E______ et Mme D______ ont contesté la décision rendue le 16 juin 2020, par laquelle l’OAI a refusé de mettre l’assurée au bénéfice d’une rente d’invalidité. À aucun moment, il n’est précisé que le courrier a été rédigé au nom de l’assurée et avec son accord. C’est pourquoi, par courriers des 7 et 25 août 2020, la chambre de céans a sollicité la production, par la recourante, d’une procuration en faveur des auteurs du courrier du 24 juin 2020. Le 10 septembre 2020, la recourante a toutefois informé la chambre de céans qu’elle ne donnait pouvoir ni au Dr E______ ni à Mme D______ aux fins de la représenter en justice, estimant pouvoir et vouloir être personnellement entendue. La question de la recevabilité du recours se pose dès lors. Elle peut toutefois être laissée en suspens, dès lors que ledit recours doit de toute manière être rejeté pour les motifs suivants.</w:t>
      </w:r>
    </w:p>
    <w:p>
      <w:r>
        <w:rPr>
          <w:b/>
        </w:rPr>
        <w:t>E. 4</w:t>
      </w:r>
    </w:p>
    <w:p>
      <w:r>
        <w:t>Le litige porte sur le droit de la recourante à une rente d’invalidité, singulièrement sur la valeur probante du rapport du CEMEDEX du 23 décembre 2019.</w:t>
      </w:r>
    </w:p>
    <w:p>
      <w:r>
        <w:rPr>
          <w:b/>
        </w:rPr>
        <w:t>E. 5</w:t>
      </w:r>
    </w:p>
    <w:p>
      <w:r>
        <w:t>a. Aux termes de l’art. 8 al. 1er LPGA, est réputée invalidité l’incapacité de gain totale ou partielle qui est présumée permanente ou de longue durée. Selon l’art. 7</w:t>
      </w:r>
    </w:p>
    <w:p>
      <w:r>
        <w:t>A/2337/2020 - 5/12 -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I.654/00 du 9 avril 2001 consid. 1 ; ATAS/502/2017 du 20 juin 2017 consid. 4b). b.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en moyenne durant une année sans interruption notable, et qu’au terme de cette année il soit invalide à 40% au moins (art. 28 al. 1 LAI), la rente d’invalidité alors allouée étant un quart de rente, une demie-rente, un trois quarts de rente ou une rente entière selon que le taux d’invalidité est, respectivement, de 40 à 49%, de 50 à 59%, de 60 à 69% ou de 70% ou plus (art. 28 al. 2 LAI).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6</w:t>
      </w:r>
    </w:p>
    <w:p>
      <w:r>
        <w:t>Tant lors de l’examen initial du droit à la rente qu’à l’occasion d’une révision de celle-ci (art. 17 LPGA), il faut déterminer quelle méthode d’évaluation de</w:t>
      </w:r>
    </w:p>
    <w:p>
      <w:r>
        <w:t>A/2337/2020 - 6/12 - l’invalidité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I.693/06 du 20 décembre 2006 consid. 4.1).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A/2337/2020 - 7/12 -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w:t>
      </w:r>
    </w:p>
    <w:p>
      <w:r>
        <w:t>A/2337/2020 - 8/12 -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l’intimé s’est fondé sur le rapport d’expertise du CEMEDEX du 23 décembre 2019 pour retenir le statut mixte, renoncer à une enquête ménagère et nier le droit de la recourante à une rente d’invalidité. Il convient donc d’examiner la valeur probante de ce document. Force est tout d’abord de constater que le rapport précité remplit sur le plan formel toutes les exigences auxquelles la jurisprudence soumet la valeur probante d’un tel document. Il contient le résumé du dossier, les indications subjectives de la recourante, des observations cliniques, ainsi qu'une discussion générale du cas. Les conclusions des médecins, qui résultent d'une analyse complète de la situation médicale, sont claires et bien motivées. Sur le fond, la Dresse B______(psychiatre) a retenu les diagnostics de trouble anxieux et dépressif (F41.2) au décours d’un épisode dépressif dans le cadre d’un trouble dépressif récurrent, existant depuis 1989 et trouble du déficit de l’attention et hyperactivité (TDAH ; F90) existant anamnestiquement depuis l’enfance. L’assurée avait souffert de plusieurs épisodes dépressifs majeurs dans le passé, le dernier en 2016 suite à des difficultés liées au stress de son divorce. Subjectivement, l’assurée avait montré une bonne réponse thérapeutique, avec un arrêt du traitement antidépresseur depuis dix mois, mais un léger fléchissement de l’humeur lors de l’expertise, avec projet de réintroduction d’une médication psychotrope. Quant au TDAH, il avait probablement entraîné des difficultés attentionnelles ayant influencé le niveau d’études que l’assurée espérait atteindre. Cela étant, elle avait pu obtenir des diplômes, avoir une activité professionnelle durant de nombreuses années, et montrer une grande flexibilité avec des changements de postes. À l’exception des périodes temporaires relatives aux incapacités de travail en raison de l’état dépressif récurrent, la capacité de travail tant dans l’activité habituelle que dans une activité adaptée était entière du point de vue psychiatrique, sans diminution de rendement. La poursuite d’un traitement psychiatrique intégré, avec adaptation du traitement psychotrope selon l’état psychique de l’assurée, était recommandé.</w:t>
      </w:r>
    </w:p>
    <w:p>
      <w:r>
        <w:t>A/2337/2020 - 9/12 - Quant au Dr C______(rhumatologue), il a posé les diagnostics de douleur cervicale et dorsale secondaire à une discopathie sans signe neurologique (M51.3 ; avec effet sur la capacité de travail) et de fibromyalgie (19 points WPI sur 19 ; sans effet sur la capacité de travail). Étaient contre-indiqués : les efforts de soulèvement de plus de 10 kg, le port de charge de plus de 10 kg et les positions impliquant un porte-à- faux du buste et une rotation répétée. Enfin, le Dr F______ (médecine interne) n’a pas retenu de diagnostic incapacitant. Il a en revanche évoqué une allergie aux graminées depuis 1989, une insuffisance aortique minime, des troubles de la vue (astigmatisme, myopie et presbytie) et un excès pondéral. Les médecins précités ont par ailleurs considéré, dans leurs rapports respectifs, que les atteintes de l’assurée n’entraînaient aucune répercussion sur les divers aspects examinés en lien avec la tenue du ménage. De l’appréciation consensuelle, il ressort notamment que les limitations concernaient l’endurance dans des tâches répétitives, les difficultés de planification complexes, ainsi qu’une mémoire de travail entravée pour l’apprentissage intensif. Ces limitations n’étaient toutefois pas incapacitantes. Par ailleurs, ses capacités d’adaptation étaient légèrement entravées en raison d’un état anxieux et de la tendance de l’assurée à l’impulsivité. Elle était toutefois capable de suivre des consignes. En revanche, planifier et structurer les tâches pouvait s’avérer plus complexe. Cela étant, l’assurée n’était pas entravée dans son jugement et était capable de prendre des décisions. La persévérance dans les tâches administratives et l’endurance étaient limitées en raison des troubles attentionnels et de la fatigue. L’assurée pouvait cependant s’assumer elle-même et initier de nombreuses activités spontanément. La fatigue, la fibromyalgie, l’état anxio-dépressif chronique et le TDAH n’étaient pas durablement incapacitants et permettaient l’exercice d’une activité adaptée.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En l’espèce, les trois rapports médicaux suivants ont été produits postérieurement à l’expertise du CEMEDEX : - L’angio-CT cérébral réalisé le 27 avril 2021 en raison de sensations vertigineuses et de légères nausées dans le contexte d’une infection au Covid-19 s’est révélé dans les limites de la norme. Cet examen a également mis en évidence une sinusopathie (sinusite) occlusive ethmoïdo-maxillaire à gauche et</w:t>
      </w:r>
    </w:p>
    <w:p>
      <w:r>
        <w:t>A/2337/2020 - 10/12 - plus discrète au niveau ethmoïdal à droite ainsi que des troubles statiques et dégénératifs sévères du rachis cervical. - Dans leur courrier du 24 juin 2020, le Dr E______ et Mme D______ ont retenu les diagnostics de trouble dépressif persistant moyen (dysthymie ; F34.1), suite à un événement traumatique survenu dans son environnement conjugal (grave accident de son ex-mari avec troubles cognitifs) et troubles somatiques. L’investigation des troubles neuro-développementaux était planifiée, notamment en ce qui concernait le TDAH. L’assurée suivait une thérapie cognitivo-comportementale à raison d’une séance hebdomadaire, une deuxième étant en réserve, avec traitement médicamenteux (Rendormin Zeller 500 mg et Rebalance Zeller 500mg). Pour ces motifs, le Dr E______ et Mme D______ demandaient à l’OAI de reconsidérer son refus de rente et de reconnaître une rente de 50% en faveur de l’assurée. - Selon une attestation du 14 juin 2021 du docteur G______, spécialiste FMH en oto-rhino-laryngologie ainsi qu’en allergologie et immunologie clinique, l’assurée souffrait d’une rhinite allergique et d’un asthme perannuels, en raison d’une hypersensibilité aux allergènes d’acariens de la poussière domestique. L’achat d’une housse imperméable pour son matelas et de taies imperméables pour son oreiller et son duvet était préconisé. Le compte-rendu de l’angio-CT cérébral du 27 avril 2021 et l’attestation du 14 juin 2021 ont été transmis en annexe d’un courrier daté du 14 juillet 2021 dans lequel la recourante a expliqué que les atteintes somatiques entraînaient une grande fatigue et un stress élevé, ainsi que des répercussions sur sa santé psychologique, avec des troubles du sommeil détériorant ses capacités cognitives (attention, concentration, mémoire) et des troubles de l’humeur (anxiété, dépression), avec un impact négatif sur sa vie quotidienne et ses performances professionnelles. Force est toutefois de constater que ces documents ne respectent pas les réquisits jurisprudentiels permettant de leur reconnaître une pleine valeur probante : ils ne comportent ni anamnèse ni résumé du dossier. Les plaintes de l’assurée ne sont pas résumées et les médecins ne motivent aucunement leurs conclusions et ne critiquent pas non plus celles des médecins du CEMEDEX. Enfin, à l’exception de la sinusite, qui n’est de toute évidence pas incapacitante, les atteintes énoncées dans les trois rapports précités ont été pris en considération par les médecins du CEMEDEX. En d’autres termes, la recourante n’a pas évoqué d'éléments objectivement vérifiables qui auraient été ignorés dans le cadre de l'expertise. Les rapports transmis ne permettent ainsi pas de remettre en question les conclusions de l'expertise du CEMEDEX, de sorte qu’il n’y a pas lieu de s’en écarter. La capacité de travail de la recourante est par conséquent entière quelle que soit l’activité retenue.</w:t>
      </w:r>
    </w:p>
    <w:p>
      <w:r>
        <w:rPr>
          <w:b/>
        </w:rPr>
        <w:t>E. 10</w:t>
      </w:r>
    </w:p>
    <w:p>
      <w:r>
        <w:t>Dans son écriture du 10 septembre 2020, la recourante a demandé à être personnellement entendue en justice.</w:t>
      </w:r>
    </w:p>
    <w:p>
      <w:r>
        <w:t>A/2337/2020 - 11/12 - Dans ce contexte, c’est le lieu de relever qu’à teneur de l'art. 18 LPA, la procédure administrative est en principe écrite ; toutefois, si le règlement et la nature de l'affaire le requièrent, l'autorité peut procéder oralement. Force est tout toutefois de constater que l’état de santé de la recourante ressort clairement des pièces du dossier (expertise du 23 décembre 2019 et rapport des médecins traitants). Une éventuelle audition de la recourante ne permettra pas de remettre en question les conclusions des médecins du CEMEDEX, de sorte que la chambre de céans y renoncera par appréciation anticipée des preuves (cf. ATF 133 III 675 consid. 5.2 non publié).</w:t>
      </w:r>
    </w:p>
    <w:p>
      <w:r>
        <w:rPr>
          <w:b/>
        </w:rPr>
        <w:t>E. 11</w:t>
      </w:r>
    </w:p>
    <w:p>
      <w:r>
        <w:t>À toutes fins utiles, la chambre de céans relève encore que le rapport du 23 décembre 2019 ne permet pas, à lui seul, de retenir un statut mixte. En effet, la dernière activité exercée par la recourante l’a été à 100% (vendeuse du 15 janvier 2013 au 28 février 2014 ; cf. rapport du 23 décembre 2019 p. 27). S’y ajoute le fait que la recourante ne se sent pas la force de travailler plus de 50%, à cause de son état de fatigue et de ses douleurs chroniques. Or, ce souhait coïncide avec les appréciations de ses médecins traitants, qui retenaient une capacité de travail de 50% uniquement. Partant, on ne peut considérer, sur la seule base du rapport d’expertise précité, que sans les atteintes à la santé, la recourante aurait travaillé à 50% uniquement et qu’un statut mixte doit être retenu. Ce point n’est toutefois en l’état pas pertinent, dès lors que la capacité de travail de la recourante est entière, tant dans son activité habituelle que dans une activité adaptée, ce qui exclut tout droit à une rente, qu’il s’agisse d’un statut mixte ou du statut d’une personne active.</w:t>
      </w:r>
    </w:p>
    <w:p>
      <w:r>
        <w:rPr>
          <w:b/>
        </w:rPr>
        <w:t>E. 12</w:t>
      </w:r>
    </w:p>
    <w:p>
      <w:r>
        <w:t>Partant, le recours du 24 juin 2020 doit être rejeté dans la mesure de sa recevabilité. Il ne sera pas alloué de dépens à l’assurée, non représentée, qui succombe (art. 61 let. g LPGA a contrario art. 89H al. 3 LPA a contrario). Étant donné que depuis le 1er juillet 2006, la procédure n'est plus gratuite (art. 69 al. 1bis LAI), il y a lieu de condamner la recourante au paiement d'un émolument de CHF 200.- au vu du sort du recours.</w:t>
      </w:r>
    </w:p>
    <w:p>
      <w:r>
        <w:t>A/2337/2020 - 12/12 -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