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ATAS/901/2008 vom 19. August 2008</w:t>
      </w:r>
    </w:p>
    <w:p>
      <w:r>
        <w:t>GE Cour de justice, 2008-08-19, FR</w:t>
      </w:r>
    </w:p>
    <w:p>
      <w:r>
        <w:rPr>
          <w:b/>
        </w:rPr>
        <w:t xml:space="preserve">Quelle: </w:t>
      </w:r>
      <w:r>
        <w:t>https://mcp.opencaselaw.ch/entscheid/ge_gerichte_ATAS_901_2008</w:t>
      </w:r>
    </w:p>
    <w:p>
      <w:r>
        <w:t>FR: GE_GERICHTE ATAS/901/2008 du 19 août 2008</w:t>
      </w:r>
    </w:p>
    <w:p>
      <w:r>
        <w:t>IT: GE_GERICHTE ATAS/901/2008 del 19 agosto 2008</w:t>
      </w:r>
    </w:p>
    <w:p>
      <w:pPr>
        <w:pStyle w:val="Heading2"/>
      </w:pPr>
      <w:r>
        <w:t>Erwägungen</w:t>
      </w:r>
    </w:p>
    <w:p>
      <w:r>
        <w:rPr>
          <w:b/>
        </w:rPr>
        <w:t>E. 13</w:t>
      </w:r>
    </w:p>
    <w:p>
      <w:r>
        <w:t>Par courrier du 18 octobre 2007, le Dr L_________ a indiqué que sa patiente avait scrupuleusement suivi les décisions du Dr N_________ et avait repris son travail à 70% comme aide-soignante le 30 avril 2007, mais que très rapidement la situation s'était dégradée entrainant une boiterie constatée par tout l'entourage professionnel, raison pour laquelle il avait réduit son taux d'activité à 60% dès le 15 octobre 2007.</w:t>
      </w:r>
    </w:p>
    <w:p>
      <w:r>
        <w:rPr>
          <w:b/>
        </w:rPr>
        <w:t>E. 14</w:t>
      </w:r>
    </w:p>
    <w:p>
      <w:r>
        <w:t>Le 29 octobre 2007, l'OCAI a informé l'assurée qu'il entendait refuser d'entrer en matière suite à la nouvelle demande déposée par le Dr L_________ le 18 octobre 2007, au motif qu'elle ne faisait valoir aucun fait nouveau par rapport à la décision du 9 juillet 2007.</w:t>
      </w:r>
    </w:p>
    <w:p>
      <w:r>
        <w:rPr>
          <w:b/>
        </w:rPr>
        <w:t>E. 15</w:t>
      </w:r>
    </w:p>
    <w:p>
      <w:r>
        <w:t>Le 22 novembre 2007, le Dr L_________ a allégué que les éléments nouveaux résidaient dans le fait que la capacité de travail avait été surestimée ainsi qu'en attestait l'entourage professionnel et le Dr P_________, médecin-conseil de l'EMS X_________, employeur de l'assurée. Il considère ainsi qu'il est indispensable que la situation de l'assurée soit réévaluée de façon à pouvoir continuer d'exercer son métier à 60%.</w:t>
      </w:r>
    </w:p>
    <w:p>
      <w:r>
        <w:rPr>
          <w:b/>
        </w:rPr>
        <w:t>E. 16</w:t>
      </w:r>
    </w:p>
    <w:p>
      <w:r>
        <w:t>Dans une note du 4 janvier 2008, le Dr Q_________ du SMR a relevé que le médecin traitant indiquait dans son courrier du 22 novembre 2007 que les diagnostics n'avaient pas changé mais qu'ils étaient plus invalidants que ce qui avait été retenu par le Dr N_________ puisque l'assurée ne pouvait pas travailler à plus de 60%. Il donnait ainsi un avis différent, mais pas d'élément nouveau.</w:t>
      </w:r>
    </w:p>
    <w:p>
      <w:r>
        <w:rPr>
          <w:b/>
        </w:rPr>
        <w:t>E. 17</w:t>
      </w:r>
    </w:p>
    <w:p>
      <w:r>
        <w:t>Par décision du 14 janvier 2008, l'OCAI a confirmé son projet de décision refusant d'entrer en matière faute d'éléments nouveaux.</w:t>
      </w:r>
    </w:p>
    <w:p>
      <w:r>
        <w:rPr>
          <w:b/>
        </w:rPr>
        <w:t>E. 18</w:t>
      </w:r>
    </w:p>
    <w:p>
      <w:r>
        <w:t>L'assurée a interjeté recours le 13 février 2008 contre ladite décision. Elle souligne que lors d'un contrôle chez le Dr R_________ aux HUG, la cassure de deux vis au niveau de la plaque fémurale droite avait été mise en évidence, ce qui témoignait bien de la surcharge au niveau du membre inférieur droit.</w:t>
      </w:r>
    </w:p>
    <w:p>
      <w:r>
        <w:rPr>
          <w:b/>
        </w:rPr>
        <w:t>E. 19</w:t>
      </w:r>
    </w:p>
    <w:p>
      <w:r>
        <w:t>Dans sa réponse du 14 avril 2008, l'OCAI a conclu au rejet du recours, se fondant sur un avis du SMR daté du 9 avril 2008.</w:t>
      </w:r>
    </w:p>
    <w:p>
      <w:r>
        <w:rPr>
          <w:b/>
        </w:rPr>
        <w:t>E. 20</w:t>
      </w:r>
    </w:p>
    <w:p>
      <w:r>
        <w:t>Ce courrier a été transmis à l'assurée et la cause gardée à juger. EN DROIT</w:t>
      </w:r>
    </w:p>
    <w:p>
      <w:r>
        <w:t>A/499/2008 - 5/9 - 1.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14 janvier 2008 et statuant sur un état de fait juridiquement déterminant remontant à l'année 2007, le présent litige sera examiné à la lumière des dispositions de la LPGA.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4. Le litige porte sur le point de savoir si l'intimé était fondé à refuser d'entrer en matière sur la demande de l'assurée tendant à la modification de la décision de refus de rente d'invalidité. 5.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Si les allégations de l'assuré ne sont pas plausibles, l'affaire est liquidée d'entrée de cause et sans autres investigations par un refus d'entrée en matière (ATF 109 V 114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w:t>
      </w:r>
    </w:p>
    <w:p>
      <w:r>
        <w:t>A/499/2008 - 6/9 -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27). 6. En l’espèce, l'OCAI a refusé d’entrer en matière sur la nouvelle demande déposée le 18 octobre 2007 par le Dr L_________ pour l'assurée, au motif qu'une modification de son invalidité de façon à influencer ses droits n’avait pas été rendue plausible. En définitive, le litige porte sur le droit de l'assurée à une rente d'invalidité au regard de la décision initiale de refus de prestations du 9 juillet 2007 entrée en force. 7.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w:t>
      </w:r>
    </w:p>
    <w:p>
      <w:r>
        <w:t>A/499/2008 - 7/9 -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A/499/2008 - 8/9 -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 8. En l’espèce, dans sa décision du 9 juillet 2007, l'OCAI a nié le droit de l'assurée à une rente ou à des mesures de réadaptation professionnelle, au motif que d'une part, le status après opération d'un chondrosarcome du fémur droit et allogreffe, puis l'hernie discale paramédiane gauche ainsi que l'épicondylite du coude gauche ne justifiaient pas d'incapacité de travail suffisamment important et que d'autre part, le trouble somatoforme douloureux n'était pas invalidant. 9. Le Dr L_________ a fait valoir à l'appui de la nouvelle demande, que la capacité de travail de sa patiente, fixée à 75% par le Dr N_________ sur le plan somatique, avait été surestimée, puisqu'elle ne dépassait en réalité pas 60%. 10. Force est de constater qu'aucun fait nouveau n'est ainsi mis en évidence, le Dr L_________ se bornant à faire état d'une estimation différente de celle qui avait été faite lors de la décision du 9 juillet 2007, sur la base d'une situation inchangée. Il y a dès lors lieu de considérer que la décision de non entrée en matière rendue par l'OCAI le 14 janvier 2008 était justifiée et doit se voir confirmer.</w:t>
      </w:r>
    </w:p>
    <w:p>
      <w:r>
        <w:t>A/499/2008 - 9/9 -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