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ATAS/900/2014 vom 19. August 2014</w:t>
      </w:r>
    </w:p>
    <w:p>
      <w:r>
        <w:t>GE Cour de justice, 2014-08-19, FR</w:t>
      </w:r>
    </w:p>
    <w:p>
      <w:r>
        <w:rPr>
          <w:b/>
        </w:rPr>
        <w:t xml:space="preserve">Quelle: </w:t>
      </w:r>
      <w:r>
        <w:t>https://mcp.opencaselaw.ch/entscheid/ge_gerichte_ATAS_900_2014</w:t>
      </w:r>
    </w:p>
    <w:p>
      <w:r>
        <w:t>FR: GE_GERICHTE ATAS/900/2014 du 19 août 2014</w:t>
      </w:r>
    </w:p>
    <w:p>
      <w:r>
        <w:t>IT: GE_GERICHTE ATAS/900/2014 del 19 agosto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SWISSCANTO a affilié à deux reprises le demandeur avant le mariage. Elle a transféré à deux institutions de prévoyance distinctes les prestations de sortie du demandeur. Pour le premier montant de CHF 7'977.45, les intérêts ont été calculés jusqu’au 1er septembre 1992, et non au jour du divorce, soit au 28 février 2014. La chambre de céans doit par conséquent procéder au calcul des</w:t>
      </w:r>
    </w:p>
    <w:p>
      <w:r>
        <w:t>A/737/2014 5/6 intérêts sur la somme de CHF 7'977.45, du 1er septembre 1992 au 28 février 2014. Par conséquent, les intérêts dus au demandeur sur la somme de CHF 7'977.45 existant au 1er septembre 1992 se montent à CHF 7'347.20. S’agissant du second montant, soit CHF 1'568.05, SWISSCANTO l’a transféré le 12 novembre 1999 à la BCGe. Les intérêts sur cette somme doivent donc être calculés du 12 novembre 1999 au 28 février 2014. Ainsi, les intérêts dus au demandeur sur la somme de CHF 1'568.05 existant au 12 novembre 1999 se montent à CHF 703.15.</w:t>
      </w:r>
    </w:p>
    <w:p>
      <w:r>
        <w:rPr>
          <w:b/>
        </w:rPr>
        <w:t>E. 4</w:t>
      </w:r>
    </w:p>
    <w:p>
      <w:r>
        <w:t>En l’espèce, le juge de première instance a ordonné le partage par moitié des prestations de sortie acquises durant le mariage par les demandeurs. Les dates pertinentes sont, d’une part, celle du mariage, le 18 août 1992, d’autre part le 28 février 2014, date à laquelle le jugement de divorce est devenu exécutoire.</w:t>
      </w:r>
    </w:p>
    <w:p>
      <w:r>
        <w:rPr>
          <w:b/>
        </w:rPr>
        <w:t>E. 5</w:t>
      </w:r>
    </w:p>
    <w:p>
      <w:r>
        <w:t>Selon les documents produits, la prestation acquise pendant le mariage par le demandeur est de CHF 204'804.85. A ce montant, il y a lieu d'ajouter le versement anticipé au titre de l'encouragement à la propriété du logement de CHF 7'000.-. Les avoirs LPP du demandeur accumulés au jour du divorce s'élèvent ainsi à CHF 211'804.85 (204'804.85 + 7'000). De ce montant, il convient de déduire la prestation acquise par le demandeur au jour du mariage CHF 9'545.50 (7'977.45 + 1'568.05), intérêts au jour du divorce y compris CHF 8'050.35 (7'347.20 + 703.15), ce qui donne CHF 17'595.85. La prestation de libre passage à partager du demandeur est dès lors de CHF 194'209.- (211'804.85 – 17'595.85). Celle acquise par la demanderesse est de CHF 87'383.40, les intérêts ayant déjà été calculés par les institutions de prévoyance défenderesses. Ainsi le demandeur doit à son ex-épouse le montant de CHF 97'104.50 (CHF 194’209 : 2) et celle-ci doit à celui-là le montant de CHF 43'691.70 (CHF 87'383.40 : 2), de sorte que c’est le demandeur qui doit à la demanderesse le montant de CHF 53'412.80 (97'104.50 – 43'691.70).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A/737/2014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