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ATAS/900/2010 vom 2. September 2010</w:t>
      </w:r>
    </w:p>
    <w:p>
      <w:r>
        <w:t>GE Cour de justice, 2010-09-02, FR</w:t>
      </w:r>
    </w:p>
    <w:p>
      <w:r>
        <w:rPr>
          <w:b/>
        </w:rPr>
        <w:t xml:space="preserve">Quelle: </w:t>
      </w:r>
      <w:r>
        <w:t>https://mcp.opencaselaw.ch/entscheid/ge_gerichte_ATAS_900_2010</w:t>
      </w:r>
    </w:p>
    <w:p>
      <w:r>
        <w:t>FR: GE_GERICHTE ATAS/900/2010 du 2 septembre 2010</w:t>
      </w:r>
    </w:p>
    <w:p>
      <w:r>
        <w:t>IT: GE_GERICHTE ATAS/900/2010 del 2 settembre 2010</w:t>
      </w:r>
    </w:p>
    <w:p>
      <w:pPr>
        <w:pStyle w:val="Heading2"/>
      </w:pPr>
      <w:r>
        <w:t>Erwägungen</w:t>
      </w:r>
    </w:p>
    <w:p>
      <w:r>
        <w:rPr>
          <w:b/>
        </w:rPr>
        <w:t>E. 1</w:t>
      </w:r>
    </w:p>
    <w:p>
      <w:r>
        <w:t>Conformément à l'art. 56V al. 1 let. a ch. 4 de la loi genevoise sur l'organisation judiciaire (LOJ), le Tribunal cantonal des assurances sociales connaît en instance unique des contestations prévues à l’art. 56 de la loi fédérale sur la partie</w:t>
      </w:r>
    </w:p>
    <w:p>
      <w:r>
        <w:t>A/804/2010 - 4/5 - générale du droit des assurances sociales du 6 octobre 2000 (LPGA) relatives à la loi fédérale sur l’assurance-maladie du 18 mars 1994 (LAMal). Sa compétence pour juger du cas d’espèce est ainsi établie.</w:t>
      </w:r>
    </w:p>
    <w:p>
      <w:r>
        <w:rPr>
          <w:b/>
        </w:rPr>
        <w:t>E. 2</w:t>
      </w:r>
    </w:p>
    <w:p>
      <w:r>
        <w:t>Le recours, interjeté dans les délai et forme prescrits par la loi, est recevable.</w:t>
      </w:r>
    </w:p>
    <w:p>
      <w:r>
        <w:rPr>
          <w:b/>
        </w:rPr>
        <w:t>E. 3</w:t>
      </w:r>
    </w:p>
    <w:p>
      <w:r>
        <w:t>a) Un des buts principaux de la LAMal est de rendre l’assurance-maladie obligatoire pour l’ensemble de la population en Suisse (ATF 125 V 271 consid. 5b). Aussi bien l’art. 3 al. 1 LAMal pose-t-il le principe de l’obligation d’assurance pour toute personne domiciliée en Suisse. L’art. 1 al. 1 de l’ordonnance sur l’assurance-maladie du 27 juin 1995 (OAMal) précise que les personnes domiciliées en Suisse au sens des art. 23 à 26 du code civil suisse sont tenues de s’assurer, tout comme les ressortissants étrangers qui disposent d’une autorisation de séjour (art. 1 al. 2 OAMal). b) En l’espèce, il est constant que le recourant, domicilié en Suisse, est soumis à l’assurance obligatoire conformément à l’art. 3 al. 1 LAMal.</w:t>
      </w:r>
    </w:p>
    <w:p>
      <w:r>
        <w:rPr>
          <w:b/>
        </w:rPr>
        <w:t>E. 4</w:t>
      </w:r>
    </w:p>
    <w:p>
      <w:r>
        <w:t>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w:t>
      </w:r>
    </w:p>
    <w:p>
      <w:r>
        <w:rPr>
          <w:b/>
        </w:rPr>
        <w:t>E. 5</w:t>
      </w:r>
    </w:p>
    <w:p>
      <w:r>
        <w:t>En l'espèce, le Tribunal de céans constate que, conformément à ce qui avait été convenu devant lui, le recourant s'est acquitté des montants dus à titre de primes et participations pour l'année 2009. L'intimée ayant quant à elle renoncé aux frais de poursuites et de rappel et demandé le retrait de la poursuite litigieuse, il y a lieu de constater que le litige est désormais sans objet.</w:t>
      </w:r>
    </w:p>
    <w:p>
      <w:r>
        <w:t>A/804/2010 - 5/5 -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