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ATAS/8/2026 vom 13. Januar 2026</w:t>
      </w:r>
    </w:p>
    <w:p>
      <w:r>
        <w:t>GE Cour de justice, 2026-01-13, FR</w:t>
      </w:r>
    </w:p>
    <w:p>
      <w:r>
        <w:rPr>
          <w:b/>
        </w:rPr>
        <w:t xml:space="preserve">Quelle: </w:t>
      </w:r>
      <w:r>
        <w:t>https://mcp.opencaselaw.ch/entscheid/ge_gerichte_ATAS_8_2026</w:t>
      </w:r>
    </w:p>
    <w:p>
      <w:r>
        <w:t>FR: GE_GERICHTE ATAS/8/2026 du 13 janvier 2026</w:t>
      </w:r>
    </w:p>
    <w:p>
      <w:r>
        <w:t>IT: GE_GERICHTE ATAS/8/2026 del 13 gennaio 2026</w:t>
      </w:r>
    </w:p>
    <w:p>
      <w:pPr>
        <w:pStyle w:val="Heading2"/>
      </w:pPr>
      <w:r>
        <w:t>Erwägungen</w:t>
      </w:r>
    </w:p>
    <w:p>
      <w:r>
        <w:rPr>
          <w:b/>
        </w:rPr>
        <w:t>E. 21</w:t>
      </w:r>
    </w:p>
    <w:p>
      <w:r>
        <w:t>mai 2023 et les déchirures méniscales du genou gauche. 3. À teneur de l'art. 1 al. 1 de la loi fédérale sur l'assurance-accidents, du 20 mars 1981 (LAA - RS 832.20), les dispositions de la LPGA s'appliquent à l'assurance-accidents, à moins que la loi n'y déroge expressément.</w:t>
      </w:r>
    </w:p>
    <w:p>
      <w:r>
        <w:t>A/1139/2024 - 12/18 - 4.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 il suffit que l'un d'entre eux fasse défaut pour que l'événement ne puisse pas être qualifié d'accident (ATF 142 V 219 consid. 4.3.1 ; 129 V 402 consid. 2.1 et les références). 4.1 L’art. 6 al. 2 LAA prévoit que l’assurance alloue aussi ses prestations pour les lésions corporelles suivantes, pour autant qu’elles ne soient pas dues de manière prépondérante à l’usure ou à une maladie : les déchirures du ménisque (let. c). Selon la jurisprudence, lorsque l'assureur-accidents a admis l'existence d'un accident au sens de l'art. 4 LPGA et que l'assuré souffrait d'une lésion corporelle au sens de l'art. 6 al. 2 LAA, l'assureur-accidents doit prendre en charge les suites de la lésion en cause sur la base de l'art. 6 al. 1 LAA. En revanche, en l'absence d'un accident au sens juridique, le cas doit être examiné sous l'angle de l'art. 6 al. 2 LAA (ATF 146 V 51 consid. 9.1; arrêt 8C_445/2021 du 14 janvier 2022 consid. 3.1 et les références). 4.2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La condition relative au lien de causalité naturelle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w:t>
      </w:r>
    </w:p>
    <w:p>
      <w:r>
        <w:t>A/1139/2024 - 13/18 -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Selon la jurisprudence, l'utilisation par un médecin du terme « post-traumatique » ne suffit pas, à elle seule, à reconnaître un lien de causalité entre un accident et des troubles. En effet, on peut entendre par une affection « post-traumatique » des troubles qui ne sont pas causés par l'accident mais qui ne sont apparus qu'après l'accident (arrêt du Tribunal fédéral 8C_493/2023 du 6 février 2024 consid. 4.2 et la référence). 4.3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étant précisé que le fardeau de la preuve de la disparition du lien de causalité appartient à la partie qui invoque la suppression du droit (ATF 146 V 51 consid. 5.1 ; arrêt du Tribunal fédéral 8C_331/2024 du 29 novembre 2024 consid. 4.2). À cet égard, le Tribunal fédéral a rappelé dans un arrêt récent qu'à supposer l'implication chez l'assuré de troubles dégénératifs préexistants, si leur origine exclusivement maladive n'a pas été établie, même s'il existait un état maladif antérieur, l'assureur-accidents est tenu de prendre en charge les suites de l'accident</w:t>
      </w:r>
    </w:p>
    <w:p>
      <w:r>
        <w:t>A/1139/2024 - 14/18 - aussi longtemps que le statu quo sine vel ante n'est pas rétabli (arrêt du Tribunal fédéral 8C_461/2023 du 8 février 2024 consid. 4.3.1.1).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Dans le contexte de la suppression du droit à des prestations d'assurance sociales, le fardeau de la preuve incombe en principe à l'assureur-accidents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Á cet égard, est seul décisif le point de savoir si, au degré de la vraisemblance prépondérante (ATF 146 V 271 consid. 4.4), les causes accidentelles d'une atteinte à la santé ne jouent plus aucun rôle, ne serait-ce même que partiel (ATF 142 V 435 consid. 1), et doivent ainsi être considérées comme ayant disparu (arrêt du Tribunal fédéral 8C_343/2022 du 11 octobre 2022 consid. 3.2 et les références). Selon la jurisprudence, fixer le délai du retour au statu quo sine en se référant à l'évolution prévisible de l'atteinte à la santé d'une manière abstraite et théorique ne suffit pas pour établir, au degré de la vraisemblance prépondérante, l'extinction du lien de causalité avec l'accident en cause (arrêts du Tribunal fédéral 8C_481/2019 du 7 mai 2020 consid. 3.4 ; 8C_97/2019 du 5 août 2019 consid. 4.3.1 et 4.3.2 ; 8C_473/2017 du 21 février 2018 consid. 5). 4.4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w:t>
      </w:r>
    </w:p>
    <w:p>
      <w:r>
        <w:t>A/1139/2024 - 15/18 -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w:t>
      </w:r>
    </w:p>
    <w:p>
      <w:r>
        <w:t>A/1139/2024 - 16/18 -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 4.5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5. En l’espèce, dans son ordonnance du 8 avril 2025, la chambre de céans a constaté qu’elle n’était pas en mesure de départager les opinions divergentes émanant, d’une part, des différents médecins ayant examiné la recourante et, d’autre part, du médecin-conseil de l’intimée, de sorte qu’elle a mis en œuvre une expertise judiciaire. Il convient donc d’analyser la valeur probante du rapport du 20 août 2025.</w:t>
      </w:r>
    </w:p>
    <w:p>
      <w:r>
        <w:t>A/1139/2024 - 17/18 - 5.1 L’expertise judiciaire a été réalisée par le Prof. H______, spécialiste de la discipline médicale pertinente, soit la chirurgie orthopédique. Après avoir résumé l’anamnèse, les antécédents, les habitudes, les loisirs et le déroulement d’une journée-type, l’expert a rapporté les plaintes de la recourante et consigné de façon complète les résultats de son examen clinique du 14 août 2025. Il a présenté une synthèse des pièces au dossier et analysé la littérature médicale pertinente, avant de répondre aux questions posées dans la mission. Dans ce cadre, il a notamment énuméré les diagnostics retenus, s’est déterminé sur le rapport de causalité entre les troubles et l’accident assuré, ainsi que sur les limitations fonctionnelles. Il a constaté l’évolution positive de la capacité de travail et analysé l’adéquation du traitement suivi par l’intéressée. Il a enfin pris position sur les différents rapports au dossier, expliquant les motifs pour lesquels il partageait les opinions du Dr E______, du Dr F______ et du Prof. G______, et a argumenté ses critiques à l’encontre des appréciations du Dr D______. La chambre de céans constate ainsi que le rapport d’expertise repose sur l’intégralité du dossier médical de la recourante, sur les données subjectives et sur des constatations objectives approfondies. Le Prof. H______ s’est livré à une étude minutieuse du cas et a dûment justifié son appréciation sur toutes les questions litigieuses. Ses conclusions sont claires, cohérentes et convaincantes. 5.2 L’intimée, dûment invitée à prendre position sur le rapport du Prof. H______, n’a émis aucune critique à son encontre. Si elle a déclaré persister dans ses conclusions, elle n’a pas relevé le moindre élément ou indice qui justifierait de s’écarter de l’expertise judiciaire, laquelle remplit tous les réquisits jurisprudentiels en matière de valeur probante et a précisément été ordonnée afin de départager les avis contradictoires au dossier. Dans ces conditions, la chambre de céans fera siennes les conclusions du Prof. H______ et tiendra pour établi, au degré de la vraisemblance prépondérante requis, que la subluxation de languettes méniscales, l’épanchement et le kyste arthrosynovial, diagnostics ayant eu des répercussions sur la capacité de travail de la recourante et qui ont notamment justifié l'arthroscopie du 17 novembre 2023, sont en lien de causalité avec l'accident du 21 mai 2023, et ce jusqu’au 8 juin 2025, date où le statu quo a été atteint. 6. Partant, le recours sera admis, la décision sur opposition litigieuse sera annulée, et il sera dit que la recourante a droit aux prestations de la part de l’intimée jusqu’au 8 juin 2025. La recourante obtenant gain de cause, une indemnité de CHF 3'500.- lui sera accordée à titre de participation à ses frais et dépens (art. 61 let. g LPGA ; art. 6 du règlement sur les frais, émolument et indemnités en matière administrative du 30 juillet 1986 [RFPA - E 5 10.03]). Pour le surplus, la procédure est gratuite (art. 61 let. fbis LPGA a contrario).</w:t>
      </w:r>
    </w:p>
    <w:p>
      <w:r>
        <w:t>A/1139/2024 - 18/18 -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