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ATAS/8/2023 vom 16. Januar 2023</w:t>
      </w:r>
    </w:p>
    <w:p>
      <w:r>
        <w:t>GE Cour de justice, 2023-01-16, FR</w:t>
      </w:r>
    </w:p>
    <w:p>
      <w:r>
        <w:rPr>
          <w:b/>
        </w:rPr>
        <w:t xml:space="preserve">Quelle: </w:t>
      </w:r>
      <w:r>
        <w:t>https://mcp.opencaselaw.ch/entscheid/ge_gerichte_ATAS_8_2023</w:t>
      </w:r>
    </w:p>
    <w:p>
      <w:r>
        <w:t>FR: GE_GERICHTE ATAS/8/2023 du 16 janvier 2023</w:t>
      </w:r>
    </w:p>
    <w:p>
      <w:r>
        <w:t>IT: GE_GERICHTE ATAS/8/2023 del 16 gennaio 2023</w:t>
      </w:r>
    </w:p>
    <w:p>
      <w:pPr>
        <w:pStyle w:val="Heading2"/>
      </w:pPr>
      <w:r>
        <w:t>Erwägungen</w:t>
      </w:r>
    </w:p>
    <w:p>
      <w:r>
        <w:rPr>
          <w:b/>
        </w:rPr>
        <w:t>E. 26</w:t>
      </w:r>
    </w:p>
    <w:p>
      <w:r>
        <w:t>mai 2021 pour rejeter la nouvelle demande, considérant que le rapport établi le 2 mars 2021 par le Dr F______ décrivait une situation médicale comparable à celle faite lors de la précédente demande. Si dans ce dernier rapport, le Dr F______ indiquait que le trouble dépressif de la recourante était actuellement en rémission, il estimait toutefois que celui-ci était incapacitant et que la recourante avait besoin d’un accompagnement pour l’évolution d’un poste adapté en terme de responsabilité ou la réinsertion vers l’économie libre. Son appréciation de la capacité de travail de l’assurée n’est ainsi pas la même que celle du Dr E______, qui avait considéré qu’elle était totale dans toute activité. Le rapport du Dr F______ n’est pas assez motivé pour affirmer que la situation qu’il décrivait était en tout point comparable à celle qui avait conduit à la précédente décision du 17 mars 2020. Il n’apparaît pas exclu que la situation ait pu changer, en raison de l’aggravation de l’état dépressif dont a fait état le Dr F______ le 31 décembre 2020. De plus, dans son rapport du 16 juin 2021, le Dr F______ a posé les diagnostics d’agoraphobie et de trouble dépressif récurrent avec épisode léger, soit des diagnostics différents de ceux retenus par le Dr E______, lesquels sont susceptibles d’avoir un impact sur la capacité de travail de la recourante.</w:t>
      </w:r>
    </w:p>
    <w:p>
      <w:r>
        <w:t>A/651/2022 - 12/17 - Le rapport établi le 31 mai 2022, dans le cadre d’une conduite aux urgences de la recourante, mentionne les diagnostics de trouble dépressif récurrent, de trouble anxieux, de personnalité émotionnellement labile et d’un TDAH. Bien que postérieur à la décision querellée, ce rapport rend vraisemblable que l’état de santé de la recourante a pu s’aggraver depuis la dernière décision entrée en force avec de nouveaux diagnostics. Dans son rapport du 29 novembre 2021, le Dr F______ a indiqué avoir revu la recourante le 6 septembre 2021, qu’il n’y avait aucune restriction de travail dans le poste adapté qu’elle occupait, qu’il existait probablement une capacité de travail dans un poste non adapté et qu’elle prenait du Duloxétine 90 mg pour le traitement et la prévention du trouble dépressif récurrent. Ce rapport confirme qu’il est possible que l’état de la recourante ait pu s’aggraver, dans la mesure où ce médecin se limite à dire que la recourante n’a pas de restriction de travail dans son poste qu’elle occupe à 60%. Cela laisse ouvert la question de sa capacité de travail à un taux de travail plus élevé, étant rappelé que la décision du 17 mars 2020 retenait une capacité de travail entière dans toute une activité sur le marché libre, sur la base de l’expertise du Dr E______. Il résulte des rapports précités des doutes sur la question de savoir si un changement notable des circonstances s’est produit depuis la décision du 17 mars 2020 pouvant avoir un effet sur le droit aux prestations de la recourante. Dans ces circonstances, l’intimé aurait dû instruire davantage le cas. La chambre de céans ordonnera en conséquence une expertise psychiatrique. La question complémentaire requise par l’intimé sera intégrée à la mission d’expertise.</w:t>
      </w:r>
    </w:p>
    <w:p>
      <w:r>
        <w:t>A/651/2022 - 13/17 -</w:t>
      </w:r>
    </w:p>
    <w:p>
      <w:r>
        <w:t>PAR CES MOTIFS, LA CHAMBRE DES ASSURANCES SOCIALES : Statuant préparatoirement I. Ordonne une expertise psychiatrique de Madame A______. Commet à ces fins le docteur I______, spécialiste FMH en psychiatrie et psychothérapie, à Chêne-Bourg.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4.5 Dans l’affirmative, considérez-vous que cela suffise à exclure une atteinte à la santé significative ?</w:t>
      </w:r>
    </w:p>
    <w:p>
      <w:r>
        <w:t>A/651/2022 - 14/17 - 5. Limitations fonctionnelles 5.1. Indiquer les limitations fonctionnelles en relation avec chaque diagnostic 5.1.1 Dates d'apparition 5.2 Les plaintes sont-elles objectivées ? 6. Cohérence 6.1 Effectuer un dosage sanguin des traitements psychotropes que l’assurée utilise. 6.2 Est-ce que le tableau clinique est cohérent, compte tenu du ou des diagnostic(s) retenu(s) ou y a-t-il des atypies ? 6.3 Est-ce que ce qui est connu de l'évolution correspond à ce qui est attendu pour le ou les diagnostic(s) retenu(s) ? 6.4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6.5 Quels sont les niveaux d’activité sociale et d’activités de la vie quotidienne (dont les tâches ménagères) et comment ont-ils évolué depuis la survenance de l’atteinte à la santé ? 6.6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w:t>
      </w:r>
    </w:p>
    <w:p>
      <w:r>
        <w:t>8. Ressources</w:t>
      </w:r>
    </w:p>
    <w:p>
      <w:r>
        <w:t>A/651/2022 - 15/17 - 8.1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le 17 mars 2020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w:t>
      </w:r>
    </w:p>
    <w:p>
      <w:r>
        <w:t>A/651/2022 - 16/17 - 10.3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Appréciation d'avis médicaux du dossier (il n’y a pas lieu de procéder à une appréciation des rapports du Dr E______ et de la Dresse C______, qui ont fondé la décision de l’OAI du 17 mars 2020, qui est entrée en force). 11.1 Êtes-vous d'accord avec les rapports établis par le Dr F______ les</w:t>
      </w:r>
    </w:p>
    <w:p>
      <w:r>
        <w:rPr>
          <w:b/>
        </w:rPr>
        <w:t>E. 31</w:t>
      </w:r>
    </w:p>
    <w:p>
      <w:r>
        <w:t>décembre 2020, 2 mars, 16 juin et 29 novembre 2021 ? En particulier avec les diagnostics posés, les limitations fonctionnelles constatées et l'estimation d'une capacité de travail ? Si non, pourquoi ? 11.2 Êtes-vous d’accord avec le rapport établi par la Dresse H______ du 20 mai 2022 ? En particulier avec les diagnostics posés, les limitations fonctionnelles constatées et l’estimation d’une capacité de travail ? Si non, pourquoi ? 11.3 Êtes-vous d’accord avec les avis établis par le SMR les 24 février, 26 mai, 25 juin 2021, 20 janvier et 20 mai 2022 ? En particulier avec les diagnostics posés, les limitations fonctionnelles constatées et l’estimation d’une capacité de travail ? Si non, pourquoi ? 12. Quel est le pronostic ? 13. Des mesures de réadaptation professionnelle sont-elles envisageables ? 14. L'état de santé de la personne expertisée s'est-il amélioré/détérioré depuis le 17 mars 2020, date de la dernière décision entrée en force ?</w:t>
      </w:r>
    </w:p>
    <w:p>
      <w:r>
        <w:t>Le point de savoir si un changement notable des circonstances s’est produit doit être tranché en comparant les faits tels qu’ils se présentaient au moment de la dernière révision de la rente entrée en force (soit jusqu’au 17 mars 2020) et les circonstances qui régnaient à l’époque de la décision litigieuse (du 24 janvier 2022). Il n'y a pas matière à révision lorsque les circonstances sont demeurées inchangées et que le motif de la suppression ou de la diminution de la rente réside uniquement dans une nouvelle appréciation du cas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15. Faire toutes autres observations ou suggestions utiles.</w:t>
      </w:r>
    </w:p>
    <w:p>
      <w:r>
        <w:t>A/651/2022 - 17/17 -</w:t>
      </w:r>
    </w:p>
    <w:p>
      <w:r>
        <w:t>II. Invite l’expert à déposer, dans les meilleurs délais, son rapport en trois exemplaires auprès de la chambre de céans. III.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