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ATAS/8/2010 vom 30. Oktober 2008</w:t>
      </w:r>
    </w:p>
    <w:p>
      <w:r>
        <w:t>GE Cour de justice, 2008-10-30, FR</w:t>
      </w:r>
    </w:p>
    <w:p>
      <w:r>
        <w:rPr>
          <w:b/>
        </w:rPr>
        <w:t xml:space="preserve">Quelle: </w:t>
      </w:r>
      <w:r>
        <w:t>https://mcp.opencaselaw.ch/entscheid/ge_gerichte_ATAS_8_2010</w:t>
      </w:r>
    </w:p>
    <w:p>
      <w:r>
        <w:t>FR: GE_GERICHTE ATAS/8/2010 du 30 octobre 2008</w:t>
      </w:r>
    </w:p>
    <w:p>
      <w:r>
        <w:t>IT: GE_GERICHTE ATAS/8/2010 del 30 ottobre 2008</w:t>
      </w:r>
    </w:p>
    <w:p>
      <w:pPr>
        <w:pStyle w:val="Heading2"/>
      </w:pPr>
      <w:r>
        <w:t>Erwägungen</w:t>
      </w:r>
    </w:p>
    <w:p>
      <w:r>
        <w:rPr>
          <w:b/>
        </w:rPr>
        <w:t>E. 1</w:t>
      </w:r>
    </w:p>
    <w:p>
      <w:r>
        <w:t>La loi genevoise sur 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l’AVS et à l’AI, du 6 octobre 2006 (Loi sur les prestations complémentaires; LPC ; RS 831.30). Le Tribunal de céans statue également en instance unique et conformément à l'art. 56V al. 2 let. a LOJ sur les contestations</w:t>
      </w:r>
    </w:p>
    <w:p>
      <w:r>
        <w:t>A/1716/2009 - 5/9 - prévues à l’art. 43 de la loi cantonale sur les prestations cantonales complémentaires à l’assurance-vieillesse et survivants et à l’assurance-invalidité du 25 octobre 1968 - LPCC). Sa compétence pour juger du cas d’espèce est ainsi établie.</w:t>
      </w:r>
    </w:p>
    <w:p>
      <w:r>
        <w:rPr>
          <w:b/>
        </w:rPr>
        <w:t>E. 2</w:t>
      </w:r>
    </w:p>
    <w:p>
      <w:r>
        <w:t>La LPGA, entrée en vigueur le 1er janvier 2003, est applicable au cas d'espèce.</w:t>
      </w:r>
    </w:p>
    <w:p>
      <w:r>
        <w:rPr>
          <w:b/>
        </w:rPr>
        <w:t>E. 3</w:t>
      </w:r>
    </w:p>
    <w:p>
      <w:r>
        <w:t>Les dispositions de la novelle du 6 octobre 2006 modifiant la LPC et de celle du 13 décembre 2007 modifiant la LPCC, sont entrées en vigueur le 1er janvier 2008.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sur opposition du 22 août 2009 à la lumière des anciennes dispositions de la LPC pour la période s'étendant jusqu'au 31 décembre 2007 et, le cas échéant, au regard des nouvelles dispositions de la LPC et de la LPCC pour la période postérieure (ATF 130 V 332 consid. 2.2 et 2.3). Il sied encore de préciser qu’en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4</w:t>
      </w:r>
    </w:p>
    <w:p>
      <w:r>
        <w:t>Interjeté dans les formes et délai prescrits par la loi, le recours est recevable (art. 56 et 60 LPGA, art. 9 de la loi cantonale sur les prestations complémentaires fédérales à l'assurance-vieillesse et survivants et à l'assurance invalidité du 14 octobre 1965 - LPCF - et art. 43 LPCC).</w:t>
      </w:r>
    </w:p>
    <w:p>
      <w:r>
        <w:rPr>
          <w:b/>
        </w:rPr>
        <w:t>E. 5</w:t>
      </w:r>
    </w:p>
    <w:p>
      <w:r>
        <w:t>a) Le litige porte sur la question de la remise, soit singulièrement sur la bonne foi du recourant. b) À teneur de l’art. 25 al. 1 LPGA, les prestations indûment touchées doivent être restituées, la restitution ne pouvant toutefois être exigée lorsque l’intéressé était de bonne foi et qu’elle le mettrait dans une situation difficile (cf. également. art.24 al. 1 LPCC). Les deux conditions sont cumulatives. c)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w:t>
      </w:r>
    </w:p>
    <w:p>
      <w:r>
        <w:t>A/1716/2009 - 6/9 -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En revanche, il est exigible de lui qu’il vérifie les éléments pris en compte par l’administration pour calculer son droit aux prestations. La bonne foi fait en outre d’emblée défaut lorsque l’octroi de prestations indûment versées est imputable à une violation grave ou intentionnelle de l’obligation d’annoncer ou de renseigner. Il en va ainsi lorsqu’un changement dans la situation personnelle ou matérielle n’a, intentionnellement ou par négligence grave, pas été annoncé ou annoncé avec retard compte tenu de l’attention que l’on peut raisonnablement exiger d’un bénéficiaire de prestations complémentaires (cf. ATF 112 V 103 consid. 2c, 110 V 180 consid. 3c ; arrêt non publié du TFA du 20 janvier 2007, C 93/2005). On signalera enfin, que, de jurisprudence constante, la condition de la bonne foi doit être réalisée dans la période où l’assuré concerné a reçu les prestations indues dont la restitution est exigée (ATF non publié du 17 avril 2008, 8C_766/2007, consid. 4.1 et les références citées).</w:t>
      </w:r>
    </w:p>
    <w:p>
      <w:r>
        <w:t>Comme on le voit à la lecture de la jurisprudence susmentionnée, le Tribunal fédéral des assurances (ci-après le TFA) a jugé que la violation du devoir d'annoncer ou de renseigner constitue en général une négligence grave qui ne permet pas de retenir la bonne foi de l'assuré sauf dans quelques cas isolés (cf. notamment ATF 112 V 97; 110 V 176; DTA 2002 n° 38 p. 258 consid. 2a). Le TFA a en effet considéré ladite omission comme une violation légère dans deux cas. Il s'agissait du cas d'un tuteur qui devait surveiller les activités de son pupille qui s'occupait de plusieurs locations de locaux. Le tuteur avait omis de demander à son pupille si en plus de ses activités en matière de location, il avait mené de front une activité lucrative, ce qui avait été le cas pendant un certain temps (ATF 112 V 97). Dans l'arrêt cité au DTA, une société avait demandé la remise de l'obligation de restituer les indemnités en cas de réduction de l'horaire de travail, versées à tort à une entreprise dont elle avait repris les actifs et les passifs. Le TFA a reconnu que la négligence grave commise par les organes de la société reprise, qui n'avait tenu aucun contrôle des heures de travail chômées, n'était pas imputable à la société reprenante, car en l'absence de rapport de représentation légal ou contractuel, la bonne foi était une condition de la remise qui se rattachait à la personne (physique ou morale) du bénéficiaire de la prestation indue. Dans l'ATF 110 V 176, le TFA a</w:t>
      </w:r>
    </w:p>
    <w:p>
      <w:r>
        <w:t>A/1716/2009 - 7/9 - au contraire jugé qu'une femme de 68 ans, d'origine paysanne et sans connaissance du droit, qui avait omis de déclarer les prestations en nature qu'elle recevait dans la ferme de son neveu, en dépit de précisions sur le formulaire de demande de prestations, avait commis une négligence grave, de sorte que sa bonne foi ne pouvait être reconnue.</w:t>
      </w:r>
    </w:p>
    <w:p>
      <w:r>
        <w:t>Le Tribunal de céans a également rendu une jurisprudence abondante s'agissant de la bonne foi. Dans un arrêt du 13 avril 2003 (ATAS/257/2004), il a jugé que l'assurée ne pouvait se voir reconnaître la bonne foi car elle n'avait pas informé le SPC de l'augmentation du montant des rentes complémentaires de ses enfants d'une centaine de francs (cf. également ATAS/610/2004). Le Tribunal de céans a nié la bonne foi d’une assurée qui avait satisfait à l’obligation de renseigner mais qui n’avait pas attiré l’attention de l’administration sur le fait que ses prestations continuaient d’être versées à tort comme par le passé, sans tenir compte des montants déclarés (cf. ATAS/764/2007 rendu le 21 juin 2007 par le plenum de la juridiction). Enfin, dans un arrêt du 13 mai 2008 (ATAS/568/2008), le Tribunal a jugé que la bonne foi devait être niée car l'assurée n'avait pas déclaré ses augmentations de revenus, même si celles-ci étaient modestes.</w:t>
      </w:r>
    </w:p>
    <w:p>
      <w:r>
        <w:t>d) Aux termes de l'art. 24 de l'ordonnance sur les prestations complémentaires à l’assurance-vieillesse, survivants et invalidité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L'art 24 OPC-AVS/AI est applicable aux prestations cantonales par renvoi de l'art. 1A LPCC.</w:t>
      </w:r>
    </w:p>
    <w:p>
      <w:r>
        <w:rPr>
          <w:b/>
        </w:rPr>
        <w:t>E. 6</w:t>
      </w:r>
    </w:p>
    <w:p>
      <w:r>
        <w:t>En l'occurrence, le recourant n'a pas annoncé au SPC les augmentations de revenus de son épouse, alors qu'il devait le faire selon la loi et qu'il en avait été informé par le SPC. En effet, l'assuré devait ou aurait dû savoir que cet élément, qui ne peut être qualifié d'anodin, devait intéresser le SPC et pouvait intervenir dans le calcul des prestations complémentaires. L'augmentation des revenus de son épouse est un élément suffisamment important pour que toute personne raisonnable, dans les mêmes circonstances, puisse se rendre compte que celui-ci est de nature à avoir des conséquences sur le versement des prestations complémentaires. Certes, l'assuré allègue que son épouse ne l'a pas informé de ses revenus et qu'il en ignorait tant les montants que leur augmentation. Il appartenait cependant au recourant, bénéficiaire de prestations complémentaires, de se renseigner auprès de sa femme et de lui demander de lui communiquer les montants de ses revenus afin qu'il soit en mesure de les communiquer à son tour au SPC. Il a fait preuve sur ce point de négligence que l'on doit qualifier de grave, raison pour laquelle la bonne foi ne peut lui être accordée.</w:t>
      </w:r>
    </w:p>
    <w:p>
      <w:r>
        <w:t>A/1716/2009 - 8/9 - Il y a enfin lieu de relever que la jurisprudence du Tribunal fédéral est sur la question de l'annonce des changements de situation particulièrement stricte et le Tribunal de céans ne saurait s'en écarter même s'il a conscience que cette restitution met le recourant et sa famille dans une situation financière particulièrement précaire.</w:t>
      </w:r>
    </w:p>
    <w:p>
      <w:r>
        <w:rPr>
          <w:b/>
        </w:rPr>
        <w:t>E. 7</w:t>
      </w:r>
    </w:p>
    <w:p>
      <w:r>
        <w:t>Il convient en outre de relever qu'une compensation du montant à restituer avec la rente d'invalidité devra faire l'objet d'une décision sujette à recours.</w:t>
      </w:r>
    </w:p>
    <w:p>
      <w:r>
        <w:rPr>
          <w:b/>
        </w:rPr>
        <w:t>E. 8</w:t>
      </w:r>
    </w:p>
    <w:p>
      <w:r>
        <w:t>Au vu de ce qui précède, force est ainsi de constater que le recours, mal fondé, doit être rejeté.</w:t>
      </w:r>
    </w:p>
    <w:p>
      <w:r>
        <w:t>A/1716/2009 - 9/9 -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