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ATAS/899/2022 vom 12. Oktober 2022</w:t>
      </w:r>
    </w:p>
    <w:p>
      <w:r>
        <w:t>GE Cour de justice, 2022-10-12, FR</w:t>
      </w:r>
    </w:p>
    <w:p>
      <w:r>
        <w:rPr>
          <w:b/>
        </w:rPr>
        <w:t xml:space="preserve">Quelle: </w:t>
      </w:r>
      <w:r>
        <w:t>https://mcp.opencaselaw.ch/entscheid/ge_gerichte_ATAS_899_2022</w:t>
      </w:r>
    </w:p>
    <w:p>
      <w:r>
        <w:t>FR: GE_GERICHTE ATAS/899/2022 du 12 octobre 2022</w:t>
      </w:r>
    </w:p>
    <w:p>
      <w:r>
        <w:t>IT: GE_GERICHTE ATAS/899/2022 del 12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novelle du 21 juin 2019 de la loi fédérale sur la partie générale du droit des assurances sociales du 6 octobre 2000 (LPGA - RS 830.1) est entrée en vigueur le 1er janvier 2021. Dans la mesure où le présent recours n’était pas pendant à cette date, il est soumis au nouveau droit (art. 82a LPGA). Quant aux modifications du 19 juin 2020 de la loi fédérale sur l’assurance- invalidité du 19 juin 1959 (LAI - RS 831.20), entrées en vigueur le 1er janvier 2022, elles ne sont pas applicables. En effet, en cas de changement de règles de droit, la législation applicable est en principe celle en vigueur au moment où les faits juridiquement déterminants se sont produits (ATF 144 V 210 consid. 4.3.1). Les dispositions de la LAI seront ainsi citées dans leur teneur au 31 janvier 2021.</w:t>
      </w:r>
    </w:p>
    <w:p>
      <w:r>
        <w:rPr>
          <w:b/>
        </w:rPr>
        <w:t>E. 3</w:t>
      </w:r>
    </w:p>
    <w:p>
      <w:r>
        <w:t>Déposé dans les forme et délai prévus par la loi (art. 56ss LPGA), le recours est recevable. En particulier, les conclusions tendant au constat de son droit aux prestations seront interprétées comme tendant à l'octroi de prestations. Elles sont ainsi condamnatoires, et partant recevables (cf. ATF 129 V 289 consid. 2.1).</w:t>
      </w:r>
    </w:p>
    <w:p>
      <w:r>
        <w:rPr>
          <w:b/>
        </w:rPr>
        <w:t>E. 4</w:t>
      </w:r>
    </w:p>
    <w:p>
      <w:r>
        <w:t>Le litige porte sur le droit de la recourante à des prestations d’invalidité, et notamment sur son statut.</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15 LAI dispose que l’assuré auquel son invalidité rend difficile le choix d’une profession ou l’exercice de son activité antérieure a droit à l’orientation professionnelle.</w:t>
      </w:r>
    </w:p>
    <w:p>
      <w:r>
        <w:t>A/1404/2022 - 10/19 -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A/1404/2022 - 11/19 -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8</w:t>
      </w:r>
    </w:p>
    <w:p>
      <w:r>
        <w:t>Dans un arrêt de principe concernant les troubles somatoformes douloureux,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lieu de se fonder sur une grille d’analyse comportant divers indicateurs qui rassemblent les éléments essentiels propres aux troubles de nature psychosomatique (ATF 141 V 281 consid. 3.6). Ces indicateurs concernent deux catégories, à savoir celle du degré de gravité fonctionnelle et celle de la cohérence. Le degré de gravité fonctionnelle comprend l’axe « Atteinte à la santé » englobant l’expression des éléments pertinents pour le diagnostic et des symptômes, le succès du traitement et de la réadaptation ou résistance à ces derniers, les comorbidités, l’axe « Personnalité » (diagnostic de la personnalité, ressources personnelles), l’axe « Contexte social ». La catégorie de la cohérence englobe les indicateurs relatifs à la limitation uniforme du niveau des activités dans tous les domaines comparables de la vie et au poids de la souffrance révélé par l’anamnèse établie en vue du traitement et de la réadaptation (ATF 141 V 281 consid. 4.3). Le Tribunal fédéral a par la suite étendu la jurisprudence précitée à toutes les maladies psychiques (ATF 143 V 409 consid. 4.5)</w:t>
      </w:r>
    </w:p>
    <w:p>
      <w:r>
        <w:rPr>
          <w:b/>
        </w:rPr>
        <w:t>E. 9</w:t>
      </w:r>
    </w:p>
    <w:p>
      <w:r>
        <w:t>La loi prévoit différentes méthodes pour évaluer l'invalidité d'un assuré en fonction du statut de ce dernier.</w:t>
      </w:r>
    </w:p>
    <w:p>
      <w:r>
        <w:rPr>
          <w:b/>
        </w:rPr>
        <w:t>E. 9.1</w:t>
      </w:r>
    </w:p>
    <w:p>
      <w:r>
        <w:t>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 cent (ATF 114 V 310 consid. 3a) et la méthode extraordinaire de comparaison des revenus (ATF 128 V 29 consid. 4).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w:t>
      </w:r>
    </w:p>
    <w:p>
      <w:r>
        <w:t>A/1404/2022 - 12/19 -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faut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9.2</w:t>
      </w:r>
    </w:p>
    <w:p>
      <w:r>
        <w:t>Selon le droit en vigueur jusqu’au 31 décembre 2017, chez les assurés qui n'exerçaient que partiellement une activité lucrative, l'invalidité était, pour cette part, évaluée selon la méthode générale de comparaison des revenus. S'ils se consacraient en outre à leurs travaux habituels au sens des art. 28a al. 2 LAI et 8 al. 3 LPGA, l'invalidité dans cette activité était fixée selon la méthode spécifique d'évaluation de l'invalidité. Dans une situation de ce genre, il fallait dans un premier temps déterminer les parts respectives de l'activité lucrative et de l'accomplissement des travaux habituels, puis dans un second temps calculer le degré d'invalidité d'après le handicap dont la personne était affectée dans les deux domaines d'activité ; c’était la méthode mixte d'évaluation de l'invalidité (arrêt du Tribunal fédéral 9C_36/2013 du 21 juin 2013 consid. 4.1.3). Ainsi, dans le cadre de la méthode mixte, il fallait se fonder sur la moyenne pondérée de l’incapacité de travail dans les deux domaines (ATF 130 V 97 consid. 3.4).</w:t>
      </w:r>
    </w:p>
    <w:p>
      <w:r>
        <w:rPr>
          <w:b/>
        </w:rPr>
        <w:t>E. 9.3</w:t>
      </w:r>
    </w:p>
    <w:p>
      <w:r>
        <w:t>Une modification de l'art. 27bis al. 2 et 3 du règlement sur l'assurance- invalidité (RAI - RS 831.201) est entrée en force le 1er janvier 2018, à la suite d’un arrêt de la Cour européenne des droits de l’homme constatant le caractère discriminatoire de l’application de la méthode mixte pour la grande majorité des femmes souhaitant travailler à temps partiel à la suite de la naissance d'un enfant (arrêt du 2 février 2016 Di Trizio contre Suisse, n° 7186/09 § 80-104). Selon la nouvelle teneur de cette disposition, pour les personnes qui exercent une activité lucrative à temps partiel et accomplissent par ailleurs des travaux habituels visés à l'art. 7 al. 2 LAI, le taux d'invalidité est déterminé par l'addition</w:t>
      </w:r>
    </w:p>
    <w:p>
      <w:r>
        <w:t>A/1404/2022 - 13/19 -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 la perte de gain exprimée en pourcentage est pondérée au moyen du taux d'occupation qu'aurait l'assuré s'il n'était pas invalide (let. b) (al. 3). Avec cette nouvelle réglementation, le calcul du taux d’invalidité pour la partie concernant l’activité lucrative continue d’être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(Gisella MAURO, Ralph LEUENBERGER, Changements dans la méthode mixte in Sécurité sociale, CHSS 1/2018).</w:t>
      </w:r>
    </w:p>
    <w:p>
      <w:r>
        <w:rPr>
          <w:b/>
        </w:rPr>
        <w:t>E. 9.4</w:t>
      </w:r>
    </w:p>
    <w:p>
      <w:r>
        <w:t>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du 1er avril 2014 consid. 2.2).</w:t>
      </w:r>
    </w:p>
    <w:p>
      <w:r>
        <w:rPr>
          <w:b/>
        </w:rPr>
        <w:t>E. 9.5</w:t>
      </w:r>
    </w:p>
    <w:p>
      <w:r>
        <w:t>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w:t>
      </w:r>
    </w:p>
    <w:p>
      <w:r>
        <w:t>A/1404/2022 - 14/19 -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w:t>
      </w:r>
    </w:p>
    <w:p>
      <w:r>
        <w:rPr>
          <w:b/>
        </w:rPr>
        <w:t>E. 10</w:t>
      </w:r>
    </w:p>
    <w:p>
      <w:r>
        <w:t>En l’espèce, il convient en premier lieu de se pencher sur l’expertise réalisée par les Drs D______ et E______. Celle-ci a été diligentée de manière conforme aux exigences en matière de droit d’être entendu et contient tous les éléments nécessaires selon la jurisprudence pour se voir reconnaître valeur probante. Les experts ont en effet motivé leurs conclusions, émises sur la base de leurs examens cliniques, complétés par la lecture du dossier de la recourante et son anamnèse. Ils ont en outre tenu compte de ses plaintes et des atteintes qu’ils ont diagnostiquées. Leurs conclusions sont au demeurant assez proches de celles des médecins traitants. En effet, sur le plan somatique, la Dresse B______ indiquait en décembre 2017 que la fatigue – principale plainte rapportée au Dr E______ par la recourante – ne s’expliquait pas complètement par le bilan somatique. Par ailleurs, les examens pratiqués aux HUG en 2016 ne révélaient aucun trouble organique que les experts auraient ignoré et qui justifierait une appréciation différente. Sur le plan psychique, le Dr D______ a discuté les éléments sur lesquels il se fondait pour retenir ou écarter certains diagnostics. En ce qui concerne la capacité de travail de la recourante, il s’est appuyé notamment sur les rapports des psychiatres traitants pour retracer son évolution passée. Son appréciation de ladite capacité au moment de l’expertise rejoint du reste largement celle des Dresses B______ et C______. Celles-ci ont en effet évoqué la possibilité d’une reprise d’activité professionnelle à 50 % dans leurs rapports respectivement établis en janvier 2019, janvier 2020 et mars 2020. Enfin, le Dr G______ a également admis l’exigibilité d’une activité à un tel taux en novembre 2021. Il est vrai qu’en août 2020, la Dresse C______ semblait désormais exclure une reprise de l’activité professionnelle. Ce faisant, elle ne s’est cependant pas expliquée sur les motifs l’ayant amenée à revoir son évaluation de mars 2020 et se réfère à des troubles de la concentration et une aboulie, qui ont été investigués et pris en compte par les experts dans leur appréciation. La recourante ne conteste du reste pas expressément la valeur probante de l’expertise, à laquelle l’intimé s’est également rallié. Partant, à l’instar du SMR, la chambre de céans retiendra une incapacité de travail de 30 % du 11 août 2016 au 28 février 2019, puis de 50 % dès le 1er mars 2019. Bien que les experts ne se soient pas expressément prononcés sur ce point, il</w:t>
      </w:r>
    </w:p>
    <w:p>
      <w:r>
        <w:t>A/1404/2022 - 15/19 - apparaît que l’activité d’aide-soignante est adaptée, à défaut de limitations fonctionnelles d’ordre physique, ou de contre-indications sur ce plan rapportées par le Dr D______.</w:t>
      </w:r>
    </w:p>
    <w:p>
      <w:r>
        <w:rPr>
          <w:b/>
        </w:rPr>
        <w:t>E. 11</w:t>
      </w:r>
    </w:p>
    <w:p>
      <w:r>
        <w:t>En ce qui concerne l’enquête ménagère, qui a conclu à un empêchement pondéré de 21.5 %, elle correspond également aux réquisits jurisprudentiels en la matière. Force est de constater que l’enquêtrice a détaillé les empêchements rencontrés par la recourante avec précision et qu’elle a bien tenu compte de sa fatigue. Contrairement à ce que cette dernière allègue, les conclusions de l’enquête ménagère sont conformes aux constats des experts, qui ont relevé qu’elle était à même – avec difficulté – d’accomplir les tâches dans son ménage. On rappellera que la Dresse C______ avait également indiqué en mai 2019 que la recourante pouvait mener à bien ses tâches ménagères, certes au prix d’efforts supplémentaires. C’est ici le lieu de rappeler que conformément à son obligation de diminuer le dommage, l’assuré est tenu d'adopter une méthode de travail adéquate et de répartir son travail en conséquence (arrêt du Tribunal fédéral 9C_19/2012 du 4 octobre 2012 consid. 5.2). S'agissant de la prise en compte de l'aide des membres de la famille dans l’évaluation de l'empêchement dans le ménage dû à l'invalidité,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Dans le cadre de l'évaluation de l'invalidité dans les travaux habituels, l'aide des membres de la famille (en particulier celle des enfants) va au-delà de ce qu'on peut attendre de ceux-ci, si la personne assurée n'est pas atteinte dans sa santé (arrêt du Tribunal fédéral des assurances I 309/04 du 14 janvier 2005 consid. 6.2.2). En l’espèce, l’aide des enfants a été prise en considération dans une mesure minime, puisqu’elle consiste à demander le rangement de leur chambre - ce qui relève d’une tâche parfaitement exigible au vu de leur âge - et dont ils se chargent d’ailleurs déjà selon les renseignements recueillis par l’enquêtrice. La recourante ne peut ainsi pas être suivie lorsqu’elle affirme que son état de santé l’empêche de s’affirmer suffisamment pour exiger l’aide de ses enfants. Au demeurant, aucun élément de cet ordre ne ressort des rapports des médecins traitants, et elle n’a pas non plus signalé de difficulté relationnelle avec ses enfants aux experts. Pour le surplus, la recourante se borne à des critiques d’ordre général à l’encontre de l’enquête, notamment sur sa durée, sans faire valoir que la description par l’enquêtrice de la manière dont elle a organisé ses tâches serait erronée. Partant, l’enquête ménagère – que corroborent les conclusions des experts – doit se voir reconnaître une pleine valeur probante.</w:t>
      </w:r>
    </w:p>
    <w:p>
      <w:r>
        <w:rPr>
          <w:b/>
        </w:rPr>
        <w:t>E. 12</w:t>
      </w:r>
    </w:p>
    <w:p>
      <w:r>
        <w:t>L’intimé a conclu à un statut de ménagère, que la recourante conteste. Il faut ici relever que la recourante a constamment déclaré qu’elle souhaiterait reprendre une activité dans le domaine des soins. Cela a été rapporté par la</w:t>
      </w:r>
    </w:p>
    <w:p>
      <w:r>
        <w:t>A/1404/2022 - 16/19 - Dresse C______ en mai 2019. Le fait que la Dresse B______ ait évoqué une reprise professionnelle dès janvier 2020 suggère également que la recourante envisageait une reprise d’activité, ou à tout le moins que cette éventualité était discutée. Celle-ci s’est également ouverte aux experts de son envie de reprendre une activité, n’était-ce sa fatigue. Elle a enfin indiqué sans équivoque dans le questionnaire adressé à l’intimé en avril 2021 qu’elle travaillerait sans atteinte à la santé, déclaration qu’elle a réitérée lors de l’enquête ménagère. Il n’existe aucun motif de remettre en cause ces déclarations constantes, que la recourante a faites alors même qu’elle en ignorait la portée du point de vue de l’assurance-invalidité (cf. sur la maxime des déclarations de la première heure ATF 143 V 168 consid. 5.2.2). Aucun indice ne suggère qu’elles ne traduisent pas fidèlement sa volonté hypothétique. Les raisons qui ont conduit l’intimé à s’en écarter, par une motivation au demeurant fort succincte, ne résistent pas à l’examen. Celui-ci entend tirer argument du fait que la recourante a cessé de travailler pour des raisons familiales. Cela ne suffit cependant pas à exclure définitivement une reprise future de l’activité professionnelle si la recourante avait été en bonne santé, a fortiori dès lors qu’elle s’est séparée dans l’intervalle, que sa situation financière s’est dégradée et que ses enfants ont grandi. Le statut professionnel d’un assuré n’est en effet pas un élément qui peut être fixé de manière définitive, mais il est au contraire susceptible d’évoluer en fonction des circonstances familiales, financières et personnelles. En l’espèce, les déclarations constantes de la recourante, les indications de ses médecins traitants, l’âge de ses enfants et sa situation financière précaire sont autant d’éléments qui rendent crédible l’hypothèse d’une reprise de son activité d’aide-soignante, d’autant plus qu’elle a dit à plusieurs reprises l’avoir beaucoup appréciée. Le fait qu’elle n’ait pas effectué de recherches d’emploi avant qu’une incapacité de travail ne soit attestée ne saurait pas non plus lui être opposé. L’expertise révèle en effet que ses troubles, et en particulier la fatigue, sont apparus en 2014 déjà, ce qui – compte tenu également du fait que ses enfants étaient alors en bas âge – peut expliquer qu’elle n’ait pas recherché d’activité lucrative avant le dépôt de sa demande. Par surabondance, selon l’anamnèse relatée par la Dresse C______, des symptômes de nature dépressive pourraient avoir participé à la décision de la recourante de cesser son activité professionnelle à la naissance de son premier enfant. On peut ainsi admettre que la recourante, en bonne santé, aurait travaillé à 80 %, ce qui correspond au taux dans le dernier emploi exercé et à ses allégations dans son recours.</w:t>
      </w:r>
    </w:p>
    <w:p>
      <w:r>
        <w:rPr>
          <w:b/>
        </w:rPr>
        <w:t>E. 13</w:t>
      </w:r>
    </w:p>
    <w:p>
      <w:r>
        <w:t>Il convient de procéder au calcul du degré d’invalidité en fonction d’une part professionnelle de 80 % et d’une part consacrée aux travaux ménagers de 20 %.</w:t>
      </w:r>
    </w:p>
    <w:p>
      <w:r>
        <w:rPr>
          <w:b/>
        </w:rPr>
        <w:t>E. 13.1</w:t>
      </w:r>
    </w:p>
    <w:p>
      <w:r>
        <w:t>Le droit à la rente naissant au plus tôt six mois après la demande – déposée en septembre 2017 - selon l’art. 29 al. 1 LAI, la modification réglementaire entrée en force le 1er janvier 2018 est applicable, conformément aux règles de droit</w:t>
      </w:r>
    </w:p>
    <w:p>
      <w:r>
        <w:t>A/1404/2022 - 17/19 - transitoire rappelées ci-dessus (cf. également lettre-circulaire AI n° 372 du 9 janvier 2018 de l’OFAS). En ce qui concerne le degré d’invalidité dans la sphère professionnelle, la chambre de céans souligne qu’il n’est en principe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et 5.2). Même s'il n'est pas indispensable de déterminer avec précision les salaires de référence, il n'en demeure pas moins que, dans cette situation, l'évaluation de l'invalidité repose sur des données statistiques. Par conséquent, une réduction supplémentaire du revenu d'invalide est possible en fonction des circonstances personnelles et professionnelles du cas particulier. L’abattement ne doit alors pas être additionné au taux d’incapacité de travail, mais être appliqué au revenu d’invalide (arrêt du Tribunal fédéral 9C_842/2018 du 7 mars 2019 consid. 5.1 et 5.2).</w:t>
      </w:r>
    </w:p>
    <w:p>
      <w:r>
        <w:rPr>
          <w:b/>
        </w:rPr>
        <w:t>E. 13.2</w:t>
      </w:r>
    </w:p>
    <w:p>
      <w:r>
        <w:t>En l’espèce, l’activité d’aide-soignante reste adaptée au vu de l’absence de limitations fonctionnelles physiques notamment, de sorte qu’un calcul chiffré précis du degré d’invalidité n’est pas nécessaire. S’agissant de l’abattement, la diminution de rendement est prise en considération dans la fixation de la capacité de travail, de sorte qu’elle ne justifie pas de réduction supplémentaire (arrêt du Tribunal fédéral 9C_289/2012 du 15 octobre 2012 consid. 3.3.2.2). Au vu de l’âge de la recourante, des années de service et du travail à temps partiel, on peut toutefois admettre une réduction statistique de 15 %.</w:t>
      </w:r>
    </w:p>
    <w:p>
      <w:r>
        <w:rPr>
          <w:b/>
        </w:rPr>
        <w:t>E. 13.2.1</w:t>
      </w:r>
    </w:p>
    <w:p>
      <w:r>
        <w:t>S’agissant de la période courant jusqu’au 28 février 2019, le degré d’invalidité se détermine comme suit. Dans la sphère professionnelle, compte tenu de la capacité de travail de 70 %, dont doit être déduit l’abattement de 10.5 % (15 % de 70 %), l’incapacité de gain est de 40.5 %, et de 32.4 % une fois pondérée compte tenu d’un taux d’activité à 80 %. Dans la sphère ménagère, l’invalidité correspondant aux empêchements de 21.5 % s’élève à 4.3 % après pondération à 20 %. L’addition de ces taux aboutit à un degré d’invalidité de 36.7 %, ce qui est insuffisant pour ouvrir le droit à une rente.</w:t>
      </w:r>
    </w:p>
    <w:p>
      <w:r>
        <w:rPr>
          <w:b/>
        </w:rPr>
        <w:t>E. 13.2.2</w:t>
      </w:r>
    </w:p>
    <w:p>
      <w:r>
        <w:t>Dès le 1er mars 2019, le degré d’invalidité se détermine comme suit. Dans la sphère professionnelle, compte tenu de la capacité de travail de 50 %, dont doit être déduit l’abattement de 7.5 % (15 % de 50 %), l’incapacité de gain est de</w:t>
      </w:r>
    </w:p>
    <w:p>
      <w:r>
        <w:t>A/1404/2022 - 18/19 - 57.5 %, et de 46 % une fois pondérée compte tenu d’un taux d’activité à 80 %. Dans la sphère ménagère, l’invalidité correspond aux empêchements recensés de 21.5 %, et s’élève ainsi à 4.3 % après pondération à 20 %. L’addition de ces taux aboutit à un degré d’invalidité de 50.3 %, ouvrant ainsi le droit à une demi-rente.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En application de cette disposition, la recourante a droit à une demi-rente d’invalidité dès le 1er juin 2019, soit trois mois après l’aggravation déterminante pour ouvrir le droit à cette prestation.</w:t>
      </w:r>
    </w:p>
    <w:p>
      <w:r>
        <w:rPr>
          <w:b/>
        </w:rPr>
        <w:t>E. 13.3</w:t>
      </w:r>
    </w:p>
    <w:p>
      <w:r>
        <w:t>La recourante a également conclu à l’octroi de mesures de réadaptation. De telles mesures ne sont cependant pas indiquées, dans la mesure où l’activité habituelle reste exigible à 50 %, et qu’aucune activité n’est mieux adaptée. La recourante n’a ainsi pas besoin d’un reclassement ou d’une mesure d’orientation. S’agissant de l’aide au placement, selon la jurisprudence, les raisons de santé pour lesquelles l'assuré rencontre des difficultés dans la recherche d'un emploi approprié entrent dans la notion d'invalidité propre cette aide si l'atteinte à la santé occasionne des difficultés dans la recherche d'un emploi au sens large, par exemple si, en raison de sa surdité ou de son manque de mobilité, l'assuré ne peut avoir un entretien d'embauche ou est dans l'incapacité d'expliquer à un employeur potentiel ses possibilités réelles et ses limites (arrêt du Tribunal fédéral 9C_859/2010 du 9 août 2011 consid. 2.2). On ne saurait considérer que l’importante fatigue de la recourante induite par le trouble dépressif modéré rentre dans la définition de telles difficultés, de sorte qu’elle ne saurait prétendre à une telle mesure. La décision de l’intimé doit ainsi être confirmée en tant qu’elle nie le droit à des mesures d’ordre professionnel.</w:t>
      </w:r>
    </w:p>
    <w:p>
      <w:r>
        <w:rPr>
          <w:b/>
        </w:rPr>
        <w:t>E. 14</w:t>
      </w:r>
    </w:p>
    <w:p>
      <w:r>
        <w:t>Compte tenu de ce qui précède, le recours est partiellement admis. La recourante a droit à des dépens, qui seront fixés à CHF 1'800.- (art. 61 let. g LPGA). La procédure en matière de prestations de l’assurance-invalidité n’étant pas gratuite (art. 69 al. 1bis LAI), l’intimé supporte l’émolument de CHF 200.-.</w:t>
      </w:r>
    </w:p>
    <w:p>
      <w:r>
        <w:t>A/1404/2022 - 19/19 -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