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ATAS/899/2015 vom 23. November 2015</w:t>
      </w:r>
    </w:p>
    <w:p>
      <w:r>
        <w:t>GE Cour de justice, 2015-11-23, FR</w:t>
      </w:r>
    </w:p>
    <w:p>
      <w:r>
        <w:rPr>
          <w:b/>
        </w:rPr>
        <w:t xml:space="preserve">Quelle: </w:t>
      </w:r>
      <w:r>
        <w:t>https://mcp.opencaselaw.ch/entscheid/ge_gerichte_ATAS_899_2015</w:t>
      </w:r>
    </w:p>
    <w:p>
      <w:r>
        <w:t>FR: GE_GERICHTE ATAS/899/2015 du 23 novembre 2015</w:t>
      </w:r>
    </w:p>
    <w:p>
      <w:r>
        <w:t>IT: GE_GERICHTE ATAS/899/2015 del 23 novembre 2015</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A teneur de l'art. 1 al. 1 LAVS, les dispositions de la LPGA s'appliquent à l'AVS réglée dans la première partie, à moins que la loi n'y déroge expressément.</w:t>
      </w:r>
    </w:p>
    <w:p>
      <w:r>
        <w:rPr>
          <w:b/>
        </w:rPr>
        <w:t>E. 3</w:t>
      </w:r>
    </w:p>
    <w:p>
      <w:r>
        <w:t>Interjeté en temps utile, le recours est recevable, compte tenu de la suspension des délais pendant la période de Pâques (art. 38 al. 4 let. a, 56 et 60 LPGA).</w:t>
      </w:r>
    </w:p>
    <w:p>
      <w:r>
        <w:rPr>
          <w:b/>
        </w:rPr>
        <w:t>E. 4</w:t>
      </w:r>
    </w:p>
    <w:p>
      <w:r>
        <w:t>L'objet du litige porte le bien-fondé de la décision de la caisse déclarant irrecevable l'opposition formée par l'intéressée le 11 décembre 2014 contre ses décisions du 15 août 2014.</w:t>
      </w:r>
    </w:p>
    <w:p>
      <w:r>
        <w:rPr>
          <w:b/>
        </w:rPr>
        <w:t>E. 5</w:t>
      </w:r>
    </w:p>
    <w:p>
      <w:r>
        <w:t>a. Selon l'art. 52 al. 1 LPGA, les décisions peuvent être attaquées dans les trente jours par voie d'opposition auprès de l'assureur qui les a rendues. En vertu de l’art. 40 al. 1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(MOOR, Droit administratif, vol. 2, Berne 1991, p. 181). b.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w:t>
      </w:r>
    </w:p>
    <w:p>
      <w:r>
        <w:t>A/1548/2015 - 5/9 - communication soit entrée dans sa sphère de puissance de manière qu'il puisse en prendre connaissance (ATF 122 III 319 consid. 4 et les références; GRISEL, Traité de droit administratif, p. 876 et la jurisprudence citée; KNAPP, Précis de droit administratif, 4ème éd., n°704 p. 153; KÖLZ/HÄNER, Verwaltungsverfahren und Verwaltungsrechtspflege des Bundes, 2ème éd., n°341 p. 123). c.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C 24/05 du 11 avril 2005, consid. 4.1). d. L’envoi sous pli simple ne permet en général pas d’établir que la communication est parvenue au destinataire. La seule présence au dossier de la copie d’une lettre n’autorise pas à conclure avec un degré de vraisemblance prépondérante que cette lettre a été effectivement envoyée par son expéditeur et qu’elle a été reçue par le destinataire (ATF 101 Ia 8 consid. 1). La preuve de la notification d’un acte peut néanmoins résulter d’autres indices ou de l’ensemble des circonstances, en particulier de la correspondance échangée ou de l’absence de protestation de la part d’une personne qui reçoit des rappels (cf. ATF 105 III 46 consid. 3 ; DTA 2000 n. 25 p. 121 consid. 1b, ATFA non publié du 21 janvier 2003, C 6/02, consid. 3.2). Celui qui s'absente de son domicile alors qu'une procédure est pendante doit prendre les mesures appropriées afin que les communications de l'autorité puissent lui être notifiées. N'est tenu cependant de prendre de telles dispositions que celui qui doit s'attendre avec une certaine vraisemblance à une notification pendant son absence (ATF 107 V 187). e. Selon l'art. 37 LPGA, une partie peut, en tout temps se faire représenter, à moins qu'elle ne doive agir personnellement, ou se faire assister, pour autant que l'urgence d'une enquête ne l'exclue pas (al. 1). L'assureur peut exiger du mandataire qu'il justifie ses pouvoirs par une procuration écrite (al. 2). Tant que la partie ne révoque pas la procuration, l'assureur adresse ses communications au mandataire (al. 3). f. L’art. 65, al. 2, Cst. habilite la Confédération à édicter des prescriptions relatives à la tenue des registres et au système d’annonces et de mutations des habitants pour permettre à la statistique fédérale de disposer de données homogènes et comparables. La loi sur l’harmonisation des registres (LHR – RS.431.02) a été élaborée pour que soit rempli ce mandat constitutionnel. La LHR a pour but de réglementer l’harmonisation des registres cantonaux et communaux des habitants. Cette harmonisation doit permettre aux statisticiens d’utiliser les données de ces registres et des grands registres fédéraux de personnes pour établir les statistiques de la population et pour moderniser le recensement de la population (FF 2006 439). Selon l'art. 4 de la loi d'application de la loi fédérale sur l'harmonisation des registres des habitants et d'autres registres officiels de personnes (LaLHR - F 2 25), pour chaque personne établie ou en séjour dans le canton, aux termes de l'article 3,</w:t>
      </w:r>
    </w:p>
    <w:p>
      <w:r>
        <w:t>A/1548/2015 - 6/9 - lettres a à c, de la loi fédérale, les données prévues à l'article 6 de la loi fédérale figurent dans le registre des habitants (al. 1). Selon l'art. 5 LaLHR, est tenu de s’annoncer ou de communiquer toute modification de données le concernant au sens de l’article 4 celui qui arrive dans le canton, sous réserve de dispositions contraires de la loi fédérale sur les étrangers, du 16 décembre 2005 (let. a), réside ou séjourne dans le canton (let. b), entend s’établir hors du canton ou mettre fin à son séjour (let. c). Toute annonce ou communication doit être effectuée dans les 14 jours dès la survenance du fait (art. 5 al. 3 LaLHR). g. En procédure administrative, le requérant doit indiquer son adresse qui correspondra à celle de notification. Quand l'autorité intervient d'office, comme c'est aussi le cas d'une manière générale en matière pénale, c'est à elle qu'il incombe d'effectuer les recherches nécessaires pour s'assurer de la remise effective du pli. Tant l'autorité que le destinataire doivent pouvoir tabler sur la bonne foi des autres intervenants à la procédure, ce qui ne va pas sans entraîner des conséquences. Pour être régulière, la notification doit intervenir à l'adresse indiquée par la partie elle- même à l'autorité. Cette adresse n'a pas forcément à être le domicile du destinataire, le droit procédural se contentant d'opérer avec la résidence habituelle. L'expédition doit être opérée à l'adresse mentionnée, jusqu'à ce qu'un avis de changement ait été communiqué à l'autorité. Cette dernière peut ainsi se prévaloir de la perfection de la notification dès lors que l'acte a été expédié à cet endroit. Lorsque l'autorité a appris, par exemple à l'occasion d'une autre cause mettant en présence la même personne, que celle-ci a déménagé, cette connaissance doit lui être opposée, le fardeau de la preuve incombant alors à l'administré. En outre, le juge ne peut se contenter de procéder à une notification à un tiers désigné, mandataire ad litem ou à un domicile élu, s'il a appris par son intermédiaire qu'il n'a plus de contact avec le destinataire depuis un certain temps déjà et ne sait comment le joindre. Dans ce cas, l'adresse de notification formelle persiste mais le juge n'en doit pas moins procéder à une notification édictale. Dans la mesure où le pli est retourné au greffe avec la mention « parti sans laisser d'adresse » ou une autre indication de même nature, il incombe au tribunal de procéder aux recherches nécessaires. Il ne peut en effet plus se prévaloir d'un manquement du destinataire pour fictivement admettre que le pli lui est parvenu. Le destinataire a une obligation d'information à l'égard des autres intervenants de la procédure. Fondée sur la bonne foi, celle-ci dure pendant toute l'instance. En cas de changement d'adresse, il lui incombe d'en aviser le Tribunal. Il en va de même en cas de déplacement de longue durée, que ce soit à l'hôpital, au service militaire ou en vacances : le destinataire a la charge d'organiser l'acheminement de son courrier ou de désigner un mandataire ad hoc. On admet que si le défendeur a donné une adresse à laquelle doivent se faire les notifications postales, il a pris par la même occasion l'engagement – tacite - d'indiquer tous ses changements intervenus au sujet de cette adresse. L'obligation d'annonce prévaut en droit administratif, dès le dépôt de la requête ou la première information provenant</w:t>
      </w:r>
    </w:p>
    <w:p>
      <w:r>
        <w:t>A/1548/2015 - 7/9 - de l'administration, dans tous les cas, jusqu'à l'entrée en force du jugement. Lorsque le destinataire n’avertit pas l'autorité de son changement d'adresse, il doit se laisser objecter la notification qui en résulte. En n'en va différemment que dans la mesure où une grave négligence, respectivement un acte contraire à la bonne foi pourrait être mis à la charge de l'expéditeur (DONZALLAZ, La notification en droit interne suisse, Berne 2002, n. 901, 908, 910, 913, 915 à 917 et 921 à 923 et les références citées). h.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non publié du 5 mai 2008, 8C_621/2007, consid. 4.2). i. Selon l'art. 49 al. 3 LPGA, dernière phrase, la notification irrégulière d'une décision ne doit entraîner aucun préjudice pour l'intéressé. Cependant, la jurisprudence n'attache pas nécessairement la nullité à l'existence de vices dans la notification;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p. 99, 111 V 149 consid. 4c p. 150 et les références; arrêt C 196/00 du 10 mai 2001 consid. 3a et les références, in DTA 2002 p. 65). Cela signifie notamment qu'une décision, fût-elle notifiée de manière irrégulière, peut entrer en force si elle n'est pas déférée au juge dans un délai raisonnable (arrêt I 982/06 du 17 juillet 2007, citant SJ 2000 I p. 118 consid. 4). Le Tribunal fédéral des assurances a eu l'occasion de préciser dans quel délai une partie est tenue d'attaquer une décision lorsque celle-ci n'est pas notifiée à son représentant - dont l'existence est connue de l'autorité -, mais directement en ses mains. Dans de telles situations, il a jugé que l'intéressé doit, en vertu de son devoir de diligence, se renseigner auprès de son mandataire de la suite donnée à son affaire au plus tard le dernier jour du délai de recours depuis la notification de la décision litigieuse, de sorte qu'il y a lieu de faire courir le délai de recours dès cette date (arrêt C 168/00 du 13 février 2001 consid. 3c, résumé in RSAS 2002 p. 509; arrêt C 196/00 précité consid. 3a). Cette pratique a été confirmée récemment, à la lumière de la CEDH et de la LPGA (arrêt 9C_85/2011 du 17 janvier 2012 consid. 6.2, 6.3 et 6.8).</w:t>
      </w:r>
    </w:p>
    <w:p>
      <w:r>
        <w:t>A/1548/2015 - 8/9 -</w:t>
      </w:r>
    </w:p>
    <w:p>
      <w:r>
        <w:rPr>
          <w:b/>
        </w:rPr>
        <w:t>E. 6</w:t>
      </w:r>
    </w:p>
    <w:p>
      <w:r>
        <w:t>En l’espèce, la caisse n'a pas notifié les décisions en cause par pli recommandé. Il est toutefois établi qu'elles sont arrivées dans la boîte aux lettres de l'appartement que l'intéressée possède à l'avenue B______. La recourante allègue que les courriers ne lui ont pas été valablement communiqués à cette adresse, qui n'était pas celle de son domicile. Le fait que la recourante ait annoncé cette adresse à l'OCP est un indice qu'il s'agit, de son domicile usuel à Genève, mais n'est pas suffisant pour le prouver. Si l'on peut reprocher à cette dernière de ne pas avoir fait mettre à jour ses données à l'OCP, il faut tenir compte, en l'espèce, du fait que la caisse a été amenée à prendre les décisions du 15 août 2014 sur la base d'une communication de l'AFC que la recourante ignorait. Cette dernière n'a ainsi pas eu l'occasion de donner d'information à la caisse sur son domicile actuel ou de faire élection de domicile auprès de son représentant. Par ailleurs, la communication de l'AFC mentionnait l'élection de domicile de l'intéressée chez son réprésentant, ce qui devait faire naître chez l'intimée un doute quant à l'adresse de notification. Il incombait dès lors à la caisse, en application du principe de la bonne foi d'effectuer les recherches nécessaires pour s'assurer de la remise effective du pli. Au vu de ces circonstances, il y a lieu de retenir que la notification a été irrégulière. Elle a toutefois atteint son but, puisque la recourante a eu connaissance des décisions en cause. En raison de l'irrégularité, le délai d'opposition de 30 jours n'a toutefois commencé à courir qu'après la prise de connaissance des décisions par son représentant, soit le 14 novembre 2014. L'opposition formée le 11 décembre suivant était donc recevable.</w:t>
      </w:r>
    </w:p>
    <w:p>
      <w:r>
        <w:rPr>
          <w:b/>
        </w:rPr>
        <w:t>E. 7</w:t>
      </w:r>
    </w:p>
    <w:p>
      <w:r>
        <w:t>La décision de la caisse du 30 mars 2014 constatant l'irrecevabilité de l'opposition sera donc annulée et le dossier renvoyé à cette dernière pour qu'elle la déclare recevable et entre en matière sur le fond du litige.</w:t>
      </w:r>
    </w:p>
    <w:p>
      <w:r>
        <w:rPr>
          <w:b/>
        </w:rPr>
        <w:t>E. 8</w:t>
      </w:r>
    </w:p>
    <w:p>
      <w:r>
        <w:t>La recourante obtenant gain de cause, une indemnité de CHF 1'000.- lui sera allouée pour ses frais et dépens (art. 61 let. g LPGA).</w:t>
      </w:r>
    </w:p>
    <w:p>
      <w:r>
        <w:rPr>
          <w:b/>
        </w:rPr>
        <w:t>E. 9</w:t>
      </w:r>
    </w:p>
    <w:p>
      <w:r>
        <w:t>La procédure est gratuite.</w:t>
      </w:r>
    </w:p>
    <w:p>
      <w:r>
        <w:t>A/1548/2015 - 9/9 -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