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ATAS/899/2013 vom 18. September 2013</w:t>
      </w:r>
    </w:p>
    <w:p>
      <w:r>
        <w:t>GE Cour de justice, 2013-09-18, FR</w:t>
      </w:r>
    </w:p>
    <w:p>
      <w:r>
        <w:rPr>
          <w:b/>
        </w:rPr>
        <w:t xml:space="preserve">Quelle: </w:t>
      </w:r>
      <w:r>
        <w:t>https://mcp.opencaselaw.ch/entscheid/ge_gerichte_ATAS_899_2013</w:t>
      </w:r>
    </w:p>
    <w:p>
      <w:r>
        <w:t>FR: GE_GERICHTE ATAS/899/2013 du 18 septembre 2013</w:t>
      </w:r>
    </w:p>
    <w:p>
      <w:r>
        <w:t>IT: GE_GERICHTE ATAS/899/2013 del 18 settembre 2013</w:t>
      </w:r>
    </w:p>
    <w:p>
      <w:pPr>
        <w:pStyle w:val="Heading2"/>
      </w:pPr>
      <w:r>
        <w:t>Erwägungen</w:t>
      </w:r>
    </w:p>
    <w:p>
      <w:r>
        <w:rPr>
          <w:b/>
        </w:rPr>
        <w:t>E. 1</w:t>
      </w:r>
    </w:p>
    <w:p>
      <w:r>
        <w:t>Conformément à l'art. 134 al. 1 let. a ch. 3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La loi fédérale sur les prestations complémentaires à l'AVS et à l'AI du 6 octobre 2006 (loi sur les prestations complémentaires; LPC), est entrée en vigueur le 1er janvier 2008. Elle abroge et remplace la loi fédérale sur les prestations complémentaires à l'assurance-vieillesse, survivants et invalidité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w:t>
      </w:r>
    </w:p>
    <w:p>
      <w:r>
        <w:t>A/893/2013 - 7/12 - 132 V 215 consid. 3.1.1 et les références), le droit aux prestations complémentaires s'analyse selon les dispositions en vigueur jusqu'au 31 décembre 2007 pour le droit aux prestations jusqu'à cette date et selon le nouveau droit dès le 1er janvier 2008 (ATF 132 V 215 consid. 3.1.1 ; ATF 127 V 466 consid.1 ; ATF non publiés 9C_935/2010 du 18 février 2011, consid. 2).</w:t>
      </w:r>
    </w:p>
    <w:p>
      <w:r>
        <w:rPr>
          <w:b/>
        </w:rPr>
        <w:t>E. 3</w:t>
      </w:r>
    </w:p>
    <w:p>
      <w:r>
        <w:t>Interjeté dans les forme et délai légaux, le recours est recevable (art. 56 à 61 et 38 LPGA ; art. 9 de la loi cantonale du 14 octobre 1965 sur les prestations fédérales complémentaires à l’assurance-vieillesse et survivants et à l’assurance-invalidité [LPFC; RSG J 4 20] ; art. 43 LPCC).</w:t>
      </w:r>
    </w:p>
    <w:p>
      <w:r>
        <w:rPr>
          <w:b/>
        </w:rPr>
        <w:t>E. 4</w:t>
      </w:r>
    </w:p>
    <w:p>
      <w:r>
        <w:t>a)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2ème phrase LPGA). Dans la mesure où la demande ne peut être traitée sur le fond que si la décision de restitution est entrée en force, la remise et son étendue font l'objet d'une procédure distincte (art. 4 al. 2 OPGA ; art 5C al. 2 LPFC et art. 15 du règlement relatif aux prestations cantonales complémentaires à l'assurance-vieillesse et survivants et à l'assurance-invalidité [RPCC-AVS/AI – RSG J 4 25.03] ; ATF non publié C 264/05 du 25 janvier 2006, consid. 2.1 ; ATF non publié P 63/06 du 14 mars 2007, consid.3 ; ATF non publié 9C_211/2009 du 26 février 2010, consid. 3.1). En l'espèce, l'intimé a ordonné à la recourante de restituer la somme de 38'126 fr. par décision du 12 mars 2012. La recourante a formé opposition à cette décision le 28 mars 2012, sollicitant en outre la remise de la somme qui lui était réclamée. Par décision sur opposition du 5 juin 2012, l'intimé a confirmé sa décision du 12 mars 2012 dans son principe, réduisant toutefois le montant à restituer à 34'158 francs. Dans ce cadre, il a précisé que la demande de remise ferait l'objet d'une décision ultérieure, celle-ci ne pouvant être traitée sur le fond tant que la décision de restitution n'était pas entrée en force. La décision sur opposition du 5 juin 2012 n'a fait l'objet d'aucun recours de la part de la recourante, de sorte qu'elle est entrée en force et tranche définitivement le litige sous l'angle du principe et de la quotité de la restitution. Il s'ensuit que toute l'argumentation de la recourante relative au bien-fondé de son obligation de restituer est sans pertinence. Seules peuvent être examinées les conditions de la remise ayant fait l'objet de la décision du 27 septembre 2012, de l'opposition du 7 octobre 2012, de la décision sur opposition du 18 février 2013, et enfin du recours par-devant la Cour de céans du 14 mars 2013. b) Le litige porte ainsi exclusivement sur les conditions de la remise de l'obligation de restituer la somme de 34'158 fr., en particulier sur le point de savoir si la</w:t>
      </w:r>
    </w:p>
    <w:p>
      <w:r>
        <w:t>A/893/2013 - 8/12 - recourante remplit les conditions de la bonne foi conformément aux art. 25 al. 1 LPGA et 4 al. 1 et 2 OPGA pour les prestations complémentaires fédérales et à l'art. 24 al. 1 LPCC pour les prestations complémentaires cantonales.</w:t>
      </w:r>
    </w:p>
    <w:p>
      <w:r>
        <w:rPr>
          <w:b/>
        </w:rPr>
        <w:t>E. 5</w:t>
      </w:r>
    </w:p>
    <w:p>
      <w:r>
        <w:t>a) A teneur de l'art. 25 al. 1 LPGA, les prestations indûment touchées doivent être restituées. La restitution ne peut être exigée lorsque l’intéressé était de bonne foi et qu’elle le mettrait dans une situation difficile. Ces deux conditions figurent également aux art. 4 al. 1 OPGA, 15 al. 1 RPCC- 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w:t>
      </w:r>
    </w:p>
    <w:p>
      <w:r>
        <w:t>A/893/2013 - 9/12 -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c) Selon l’art. 5 al. 1 et 4 de l’OPGA, il y a situation difficile, au sens de cette disposition, lorsque les dépenses reconnues par la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par décisions du 11 février 2002, la recourante s'est vue octroyer des prestations complémentaires cantonales à hauteur de 86 fr. par mois. Dans son</w:t>
      </w:r>
    </w:p>
    <w:p>
      <w:r>
        <w:t>A/893/2013 - 10/12 - calcul, l'intimé a notamment pris en compte au titre de ses revenus déterminants sa rente AVS, sa rente LPP et sa rente de veuve. Suite à l'annonce par la recourante de l'échéance prochaine de sa rente de veuve, l'intimé a rendu une nouvelle décision de prestation le 3 janvier 2003, augmentant ses prestations complémentaires à un total de 919 fr. par mois. Dans son calcul, l'intimé a supprimé sa rente de veuve et, par erreur, sa rente LPP de ses revenus déterminants. Malgré les décisions rendues chaque année par l'intimé jusqu'en 2011, celui-ci ne s'est pas rendu compte de son erreur. Ce n'est qu'à la fin de l'année 2011, dans le cadre d'une révision de ses prestations qu'il s'est rendu compte que la recourante percevait une rente étrangère et que sa rente LPP n'avait plus été prise en considération depuis l'année 2003. A la suite de quoi, une décision de restitution du</w:t>
      </w:r>
    </w:p>
    <w:p>
      <w:r>
        <w:rPr>
          <w:b/>
        </w:rPr>
        <w:t>E. 12</w:t>
      </w:r>
    </w:p>
    <w:p>
      <w:r>
        <w:t>mars 2012, puis la décision sur demande de remise du 27 septembre 2012 ont été rendues. Il ressort du dossier que la recourante n'a pas informé l'intimé de ces erreurs, ce que ce dernier lui reproche. La recourante allègue sa bonne foi et sa situation financière difficile afin d'obtenir la remise de la somme de 34'158 fr. qui lui est réclamée. Elle indique avoir annoncé à l'intimé l'intégralité de ses revenus utiles au calcul de son droit aux prestations lors de sa demande de prestations du 3 août 2001. La suppression de la rente LPP de la recourante dans le calcul des prestations entre 2003 et 2011 apparaît, de son propre aveu, comme une erreur de l'intimé. Elle est d'autant moins compréhensible que ses décisions de 2002 intégraient la rente LPP dans le calcul de prestation, qu'une nouvelle décision était rendue annuellement et qu'il détenait dans son dossier toutes les informations utiles s'y rapportant. Cependant, comme le relève la jurisprudence, si l'on ne peut attendre du bénéficiaire de prestations complémentaires qu'il procède à une analyse détaillée du calcul de prestations, celui-ci est tenu de procéder à la vérification de la feuille de calcul, en particuliers des éléments pris en compte par l’administration pour calculer son droit aux prestations, afin de déceler d'éventuelles erreurs manifestes. Cette obligation a été rappelée à la recourante chaque année par une lettre intitulée "Communication importante". Il sied en outre de relever qu'en faisant preuve de l'attention que l'on peut exiger d’une personne capable de discernement dans une situation identique et dans les mêmes circonstances, cas échéant en soumettant les décisions et courriers de l'intimé à ses enfants, la recourante aurait dû et pu vérifier si le montant des prestations était fixé sur la base des revenus effectivement réalisés et informer l'intimé de son erreur. Il ressort en effet du dossier qu'une simple lecture des feuilles de calcul de prestation permet de déceler l'oubli de l'intimé. Le manque de vigilance de la recourante exclut par conséquent sa bonne foi.</w:t>
      </w:r>
    </w:p>
    <w:p>
      <w:r>
        <w:t>A/893/2013 - 11/12 - Quant à la rente étrangère, force est de constater que la recourante, contrairement à ce qu'elle prétend, n'a pas informé l'intimé de son existence avant le 2 février 2012, soit plus de dix ans après avoir déposé sa demande de prestation. Cela exclut sa bonne foi sur ce point également. La condition de la bonne foi n’étant pas réalisée, il n’est pas nécessaire d’examiner la condition de la situation difficile pour la recourante. C'est donc à juste titre que l'intimé a rejeté la demande de remise formée par la recourante. 8. Mal fondé, le recours est rejeté. 9. Pour le surplus, la procédure est gratuite (art. 61 let. a LPGA et 89H al. 1 LPA).</w:t>
      </w:r>
    </w:p>
    <w:p>
      <w:r>
        <w:t>A/893/2013 - 12/12 -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