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ATAS/898/2018 vom 9. Oktober 2018</w:t>
      </w:r>
    </w:p>
    <w:p>
      <w:r>
        <w:t>GE Cour de justice, 2018-10-09, FR</w:t>
      </w:r>
    </w:p>
    <w:p>
      <w:r>
        <w:rPr>
          <w:b/>
        </w:rPr>
        <w:t xml:space="preserve">Quelle: </w:t>
      </w:r>
      <w:r>
        <w:t>https://mcp.opencaselaw.ch/entscheid/ge_gerichte_ATAS_898_2018</w:t>
      </w:r>
    </w:p>
    <w:p>
      <w:r>
        <w:t>FR: GE_GERICHTE ATAS/898/2018 du 9 octobre 2018</w:t>
      </w:r>
    </w:p>
    <w:p>
      <w:r>
        <w:t>IT: GE_GERICHTE ATAS/898/2018 del 9 ottobre 2018</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Le recours a été interjeté en temps utile (art. 60 LPGA). Il satisfait aux exigences, peu élevées, de forme et de contenu prévues par la loi (art. 61 let. b LP GA ;</w:t>
      </w:r>
    </w:p>
    <w:p>
      <w:r>
        <w:t>A/420/2018 - 7/17 - cf. aussi art. 89B de la loi sur la procédure administrative du 12 septembre 1985 - LPA - E 5 10). Ayant été partie à la procédure ayant abouti à la décision attaquée, étant touché par cette dernière et ayant un intérêt digne de protection à son annulation ou sa modification, le recourant a qualité pour recourir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c/aa.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c/bb.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 été établis en pleine connaissance de l’anamnèse, décrivent clairement le contexte médical et les éventuelles interférences, et enfin contiennent des conclusions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w:t>
      </w:r>
    </w:p>
    <w:p>
      <w:r>
        <w:t>A/420/2018 - 8/17 -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Si l’administration ou le juge, se fondant sur une appréciation consciencieuse des preuves fournies par les investigations auxquelles ils doivent procéder d’office,</w:t>
      </w:r>
    </w:p>
    <w:p>
      <w:r>
        <w:t>A/420/2018 - 9/17 -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l’espèce, s’agissant de la LAI, le droit applicable est le droit actuellement en vigueur, résultant de la dernière révision de la LAI, dite 6a du 18 mars 2011, entrée en vigueur le 1er janvier 2012. Au demeurant, cette révision-ci de la LAI, de même que ses précédentes révisions (la 5ème révision, du 6 octobre 2006, entrée en vigueur le 1er janvier 2008, et la 4ème révision, du 21 mars 2003, entrée en vigueur le 1er janvier 2004), n’ont pas amené de modifications substantielles en particulier en matière d'évaluation de l'invalidité, qui est la question ici litigieuse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w:t>
      </w:r>
    </w:p>
    <w:p>
      <w:r>
        <w:t>A/420/2018 - 10/17 - jurisprudence développée à leur propos peut être reprise et appliquée (ATF 130 V 343 consid. 3).</w:t>
      </w:r>
    </w:p>
    <w:p>
      <w:r>
        <w:rPr>
          <w:b/>
        </w:rPr>
        <w:t>E. 4</w:t>
      </w:r>
    </w:p>
    <w:p>
      <w:r>
        <w:t>a. Le litige porte sur la question de savoir si le recourant peut être mis au bénéfice d’une rente d’invalidité et/ou s’il a droit à des mesures d’ordre professionnel. b/aa.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 à 49 %, de 50 % à 59 %, de 60 % à 69 % ou de 70 % ou plus (art. 28 al. 2 LAI). b/bb.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 FELLAY / Romolo MOLO, Droit suisse de la sécurité sociale, vol. I, 2010, n. 242 ss, 254 ss, 257 ss).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l'AI,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w:t>
      </w:r>
    </w:p>
    <w:p>
      <w:r>
        <w:t>A/420/2018 - 11/17 - c. Les deux types de prestations (rente et mesures de réadaptation) font référence à la notion d’invalidité.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ainsi une notion économique (ATF 110 V 273 consid. 4a ; arrêt du Tribunal fédéral des assurances I 654/00 du 9 avril 2001 consid. 1 ; Pierre Yves GREBER, op. cit., vol. I, n. 156 ss, 160 ss), même si elle comprend un aspect médical important puisqu'elle doit résulter d'une atteinte à la santé physique, mentale ou psychique, attestée médicalement (consid. 2c).</w:t>
      </w:r>
    </w:p>
    <w:p>
      <w:r>
        <w:rPr>
          <w:b/>
        </w:rPr>
        <w:t>E. 5</w:t>
      </w:r>
    </w:p>
    <w:p>
      <w:r>
        <w:t>a. En l’espèce, l’intimé a retenu que le recourant a une capacité de travail nulle dans son activité habituelle de pucier, mais entière, dès le 1er décembre 2016, dans une activité adaptée. b. Il n’y avait pas matière à ordonner une expertise médicale, ni même à solliciter des précisions de la part des médecins dont l’intimé a requis des rapports médicaux. Les réponses que les médecins du recourant – à savoir son médecin traitant, le Dr B______, ainsi que le spécialiste en chirurgie orthopédique et traumatologique des HUG, le Dr C______ – ont données aux questions figurant sur le formulaire de l’AI intitulé « Rapport médical intermédiaire » étaient suffisantes pour que le SMR de l’intimé émette un avis autorisé sur la capacité de travail du recourant, et l’enquêtrice de l’intimé a recueilli à ce propos des informations détaillées sur les activités constituant le quotidien professionnel du recourant, informations qui ont corroboré et complété les avis médicaux émis. c. L’intimé n’a pas opposé au recourant le fait que ce dernier, nonobstant une totale incapacité de travail alors attestée médicalement, avait repris certaines des activités constituant sa profession de pucier. Il a retenu que le recourant était incapable à 100 % d’exercer deux activités essentielles, pondérées toutes deux à 20 %, pour l’exercice de son métier habituel (à savoir le débarras d’appartements, impliquant le soulèvement et le port de charges trop lourdes, et la rénovation et la restauration de</w:t>
      </w:r>
    </w:p>
    <w:p>
      <w:r>
        <w:t>A/420/2018 - 12/17 - meubles, nécessitant, en plus d’une manipulation desdits objets, des travaux impliquant l’utilisation des deux mains pour des travaux requérant de la dextérité en particulier de la sensibilité et de la souplesse ainsi que de la force, y compris de son index et de son majeur gauches), et qu’il était substantiellement restreint (soit à 50 %) pour les tâches inhérentes à la tenue d’un stand au marché aux puces (montage et démontage du stand, port et emballage et déballage des objets exposés). L’intimé en a tiré la conclusion logique et raisonnable qu’en réalité le recourant n’était plus apte à exercer ladite profession, quand bien même son médecin traitant avait estimé finalement à 50 % sa capacité de l’exercer. Au demeurant, s’il avait considéré que le recourant avait retrouvé, dès décembre 2016, une capacité de travail de 50 % dans son activité habituelle, l’intimé n’en aurait pas moins été en droit d’exiger de lui qu’il change d’activité dès lors que pouvait et devait lui être reconnue une totale capacité d’exercer une activité adaptée, lui conférant une capacité de gain (en l’occurrence même sensiblement) supérieure à celle s’attachant à l’activité habituelle à 50 % et qu’en particulier une réorganisation de ses activités d’indépendant pour diminuer son dommage n’entrait pas en considération (arrêt du Tribunal fédéral 9C_236/2009 du</w:t>
      </w:r>
    </w:p>
    <w:p>
      <w:r>
        <w:rPr>
          <w:b/>
        </w:rPr>
        <w:t>E. 7</w:t>
      </w:r>
    </w:p>
    <w:p>
      <w:r>
        <w:t>Au vu de ce qui précède, le recours doit être rejeté. Étant donné que depuis le 1er juillet 2006, la procédure n’est plus gratuite (art. 69 al. 1bis LAI), il y a lieu de condamner le recourant au paiement d’un émolument, qui sera arrêté au montant minimal de CHF 200.-. Vu l’issue donnée au recours, il n’y a pas matière à allocation d’une indemnité de procédure (art. 61 let. g LPGA). * * * * * *</w:t>
      </w:r>
    </w:p>
    <w:p>
      <w:r>
        <w:t>A/420/2018 - 17/17 -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