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ATAS/898/2017 vom 16. Oktober 2017</w:t>
      </w:r>
    </w:p>
    <w:p>
      <w:r>
        <w:t>GE Cour de justice, 2017-10-16, FR</w:t>
      </w:r>
    </w:p>
    <w:p>
      <w:r>
        <w:rPr>
          <w:b/>
        </w:rPr>
        <w:t xml:space="preserve">Quelle: </w:t>
      </w:r>
      <w:r>
        <w:t>https://mcp.opencaselaw.ch/entscheid/ge_gerichte_ATAS_898_2017</w:t>
      </w:r>
    </w:p>
    <w:p>
      <w:r>
        <w:t>FR: GE_GERICHTE ATAS/898/2017 du 16 octobre 2017</w:t>
      </w:r>
    </w:p>
    <w:p>
      <w:r>
        <w:t>IT: GE_GERICHTE ATAS/898/2017 del 16 ottobre 2017</w:t>
      </w:r>
    </w:p>
    <w:p>
      <w:pPr>
        <w:pStyle w:val="Heading2"/>
      </w:pPr>
      <w:r>
        <w:t>Erwägungen</w:t>
      </w:r>
    </w:p>
    <w:p>
      <w:r>
        <w:rPr>
          <w:b/>
        </w:rPr>
        <w:t>E. 12</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w:t>
      </w:r>
    </w:p>
    <w:p>
      <w:r>
        <w:t>A/3394/2016 - 22/27 - renseignement au sujet de la dernière activité professionnelle de l'assuré ou si le dernier salaire que celui-ci a perçu ne correspond manifestement pas à ce qu'il aurait été en mesure de faire,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w:t>
      </w:r>
    </w:p>
    <w:p>
      <w:r>
        <w:t>A/3394/2016 - 23/27 -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Dans l’hypothèse où un assuré présente une entière capacité de travail dans toute activité lucrative ou lorsque les revenus avec et sans invalidité sont basés sur la même tabelle statistique, les revenus avant et après invalidité sont calculés sur la</w:t>
      </w:r>
    </w:p>
    <w:p>
      <w:r>
        <w:t>A/3394/2016 - 24/27 -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g.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 voir aussi ATF 138 I 205 consid. 3.2).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des assurances I.750/04 du 5 avril 2006 consid. 5.3, in SVR 2007 IV n° 1 p. 1 ; arrêt du Tribunal fédéral des assurances I.11/00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w:t>
      </w:r>
    </w:p>
    <w:p>
      <w:r>
        <w:t>A/3394/2016 - 25/27 -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138 I 205 consid. 3.3; ATF 113 V 22 consid. 4d ; arrêt du Tribunal fédéral 9C_661/2016 du 19 avril 2017 consid. 2.3 et les références).</w:t>
      </w:r>
    </w:p>
    <w:p>
      <w:r>
        <w:rPr>
          <w:b/>
        </w:rPr>
        <w:t>E. 13</w:t>
      </w:r>
    </w:p>
    <w:p>
      <w:r>
        <w:t>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Une perte de gain de 20% ouvre en principe droit à une mesure de reclassement dans une nouvelle profession (ATF 124 V 108 consid. 2b et les arrêts cités).</w:t>
      </w:r>
    </w:p>
    <w:p>
      <w:r>
        <w:rPr>
          <w:b/>
        </w:rPr>
        <w:t>E. 14</w:t>
      </w:r>
    </w:p>
    <w:p>
      <w:r>
        <w:t>En l’espèce, l’intimé a considéré que le degré d’invalidité du recourant était de 10%, soit le taux d’abattement retenu et appliqué au revenu avec invalidité. Le recourant ne conteste, à raison, pas formellement la base statistique retenue pour déterminer les revenus avec et sans invalidité, ni le calcul de son degré d’invalidité. Ses griefs, écartés précédemment (cf. supra consid. 11), portaient en réalité exclusivement sur sa capacité de travail dans une activité adaptée et sur une diminution de rendement. En l’occurrence, il apparaît que le choix de l’intimé de se fonder sur les ESS pour fixer le revenu sans invalidité est fondé, compte tenu du fait qu’au moment où la décision litigieuse a été rendue, le recourant était sans activité professionnelle depuis seize ans, ce qui rendait la prise en considération de son dernier salaire peu pertinente. S’agissant du taux d’abattement de 10%, ce qui prend en compte les limitations fonctionnelles et la seule activité légère possible, rien ne permet de considérer que l’intimé a excédé son pouvoir d’appréciation, ce que le recourant ne soutient d’ailleurs pas. Le revenu sans invalidité et le revenu avec invalidité doivent être calculés sur la base du même revenu statistique, soit le tableau TA1 de l’ESS, tous secteurs confondus, activité de niveau 1 (activités simples et répétitives, sans qualification requise) pour un homme exerçant une activité à 100%. Ainsi, le degré d’invalidité se confond avec celui de l’incapacité de travail, in casu de l’abattement de 10% appliqué au revenu avec invalidité. Force est donc de constater que le degré d’invalidité du recourant est insuffisant pour lui permettre de prétendre à des mesures de réadaptation ou à une rente d’invalidité.</w:t>
      </w:r>
    </w:p>
    <w:p>
      <w:r>
        <w:t>A/3394/2016 - 26/27 - S’agissant des mesures de réadaptation ou de toute autre mesure professionnelle, il convient d’ajouter qu’en tout état de cause, le contexte psychosocial difficile du recourant, de même que ses déclarations en cours de procédure (aversion pour la profession de menuisier, pas assez d’énergie pour échafauder des projets d’avenir, etc.) rendraient vaine la mise en œuvre de telles mesures, selon le principe de la vraisemblance prépondérante. Compte tenu de ces éléments, il apparaît que l’intimé était légitimé à retenir un degré d’invalidité de 10%, à refuser au recourant toute prestation et à attendre de ce dernier qu’il diminue son dommage en exerçant une activité adaptée à ses limitations fonctionnelles dès le mois de septembre 2013, étant rappelé que le marché du travail offre un éventail suffisamment large d'activités légères, de sorte qu’un nombre significatif d’entre elles sont adaptées aux limitations du recourant et accessibles sans aucune formation particulière.</w:t>
      </w:r>
    </w:p>
    <w:p>
      <w:r>
        <w:rPr>
          <w:b/>
        </w:rPr>
        <w:t>E. 15</w:t>
      </w:r>
    </w:p>
    <w:p>
      <w:r>
        <w:t>Au vu de ce qui précède, le recours sera rejeté. Etant donné que depuis le 1er juillet 2006, la procédure n'est plus gratuite (art. 69 al. 1bis LAI), il y a lieu de condamner le recourant au paiement d'un émolument de CHF 200.-.</w:t>
      </w:r>
    </w:p>
    <w:p>
      <w:r>
        <w:t>A/3394/2016 - 27/27 -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