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ATAS/897/2019 vom 1. Oktober 2019</w:t>
      </w:r>
    </w:p>
    <w:p>
      <w:r>
        <w:t>GE Cour de justice, 2019-10-01, FR</w:t>
      </w:r>
    </w:p>
    <w:p>
      <w:r>
        <w:rPr>
          <w:b/>
        </w:rPr>
        <w:t xml:space="preserve">Quelle: </w:t>
      </w:r>
      <w:r>
        <w:t>https://mcp.opencaselaw.ch/entscheid/ge_gerichte_ATAS_897_2019</w:t>
      </w:r>
    </w:p>
    <w:p>
      <w:r>
        <w:t>FR: GE_GERICHTE ATAS/897/2019 du 1 octobre 2019</w:t>
      </w:r>
    </w:p>
    <w:p>
      <w:r>
        <w:t>IT: GE_GERICHTE ATAS/897/2019 del 1 ottobre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A/160/2018 - 13/32 -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les deux accidents sont survenus avant le 1er janvier 2017,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60 al. 1 LPGA et art. 62 al. 1 let. a de la loi sur la procédure administrative du 12 septembre 1985 [LPA-GE - E 5 10]). Il court dès le lendemain de la notification de la décision (art. 62 al. 3 LPA-GE et dans le même sens art. 38 al. 1 LPGA). Les délais en jours ou en mois fixés par la loi ou par l’autorité ne courent pas du 18 décembre au 2 janvier inclusivement (art. 38 al. 4 let. c LPGA et 89C let. c LPA-GE). En l’espèce, le recourant a interjeté recours le 15 janvier 2018 contre la décision sur opposition du 29 novembre 2017 reçue le lendemain. Le délai de recours a commencé à courir le 1er décembre 2017, puis a été suspendu du 18 décembre 2017 au 2 janvier 2018 et est arrivé à échéance le 15 janvier 2018. Interjeté dans la forme et le délai prévus par la loi, le recours est ainsi recevable (art. 56 ss LPGA et 62 ss LPA-GE).</w:t>
      </w:r>
    </w:p>
    <w:p>
      <w:r>
        <w:rPr>
          <w:b/>
        </w:rPr>
        <w:t>E. 5</w:t>
      </w:r>
    </w:p>
    <w:p>
      <w:r>
        <w:t>Bien que le recourant présente des troubles des tendons, l’intimée ne conteste pas qu’ils sont dus à des événements accidentels au sens de l’art. 4 LPGA, ni qu’ils sont toujours en lien de causalité naturelle avec l’accident du 15 janvier 2013, respectivement du 5 décembre 2016. En revanche, sont litigieux le calcul du degré d’invalidité, plus particulièrement la capacité de travail résiduelle exigible du recourant dans une activité adaptée, la stabilisation de son état de santé, la méthode de calcul du degré d’invalidité, le revenu sans invalidité et le taux de l’atteinte à l’intégrité due à l’accident du 15 janvier 2013.</w:t>
      </w:r>
    </w:p>
    <w:p>
      <w:r>
        <w:rPr>
          <w:b/>
        </w:rPr>
        <w:t>E. 6</w:t>
      </w:r>
    </w:p>
    <w:p>
      <w:r>
        <w:t>À titre préalable, le recourant demande la suspension de la procédure jusqu’à droit connu quant à la rechute annoncée en mars 2018, au motif que la procédure litigieuse doit nécessairement inclure ladite rechute et eu égard à l’opposition qu’il entend former à la décision de l’intimée du 29 novembre 2018 qui fixe l’indemnité journalière à CHF 32.40. À cet égard, il invoque un lien suffisamment concret entre</w:t>
      </w:r>
    </w:p>
    <w:p>
      <w:r>
        <w:t>A/160/2018 - 14/32 - la décision du 29 novembre 2018 et la présente procédure, l’absence de stabilisation de son état de santé, ainsi que la similitude de l’état de fait et de droit.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De jurisprudence constante, le juge apprécie en règle générale la légalité des décisions entreprises d'après l'état de fait existant au moment où la décision litigieuse a été rendue (ATF 131 V 242 consid. 2).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9C_537/2009 du 1er mars 2010 consid. 3.2). c. En l’espèce, à la date de la décision litigieuse, soit le 29 novembre 2017, le recourant ne souffrait pas de la rechute de ses troubles de l’épaule gauche qui entraîne une nouvelle incapacité de travail attestée médicalement dès le 19 avril 2018. Par conséquent, au vu de l’état de fait existant à la date de la décision litigieuse, en principe, il n’y a pas lieu de tenir compte de cette rechute pour apprécier la légalité de ladite décision. En outre, la question de l’extension de la procédure à cette rechute ne se pose pas dès lors que, selon la jurisprudence, la rechute est attribuable à une atteinte à la santé qui, en apparence seulement, mais non dans les faits, était considérée comme</w:t>
      </w:r>
    </w:p>
    <w:p>
      <w:r>
        <w:t>A/160/2018 - 15/32 - guérie (ATF 123 V 137 consid. 3a ; ATF 118 V 293 consid. 2c et les références). Dès lors, bien que le recourant semble déduire de cette rechute l’existence d’un état de santé non stabilisé à la date de la décision litigieuse, une évolution de l’état de santé après la date de la décision de clôture du cas n’a pas d’incidence sur celle-ci puisqu’à la date de la décision, il suffit que l’atteinte à la santé puisse être considérée en apparence comme étant guérie, sans que cela soit effectivement le cas dans les faits. Par ailleurs, on ne voit pas en quoi le montant de l’indemnité journalière fixé à la suite de la rechute a une quelconque incidence sur la présente procédure, puisque la question du montant de l’indemnité journalière versée à la suite de l’accident du 5 décembre 2016 ne fait pas l’objet de la décision sur opposition, respectivement de la procédure actuelle. Aussi n’y a-t-il pas lieu de suspendre la procédure jusqu’à droit connu sur la question de la rechute pour trancher le droit à la rente d’invalidité.</w:t>
      </w:r>
    </w:p>
    <w:p>
      <w:r>
        <w:rPr>
          <w:b/>
        </w:rPr>
        <w:t>E. 7</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w:t>
      </w:r>
    </w:p>
    <w:p>
      <w:r>
        <w:t>A/160/2018 - 16/32 -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Aussi n’existe-t-il pas, en droit des assurances sociales, un principe selon lequel l’administration ou le juge devrait statuer, dans le doute, en faveur de l’assuré (ATF 126 V 319 consid. 5a).</w:t>
      </w:r>
    </w:p>
    <w:p>
      <w:r>
        <w:rPr>
          <w:b/>
        </w:rPr>
        <w:t>E. 9</w:t>
      </w:r>
    </w:p>
    <w:p>
      <w:r>
        <w:t>a. En l’espèce, s’agissant de l’accident du 15 janvier 2013, le Dr F_____ diagnostique, dans ses deux rapports du 10 août 2015, une rupture de la coiffe des rotateurs de l’épaule gauche et une lésion du bourrelet glénoïdien suite à un choc direct, ainsi qu’une déchirure itérative partielle non transfixiante du tendon du sus-épineux mise en évidence par l’arthro-IRM du 28 avril 2014 après arthroscopie pour traitement de ces lésions. Lors de son examen, il constate des mobilités inférieures à celles mesurées par le Dr E_____, le 2 mars 2015, ce qui le fait douter de la coopération effective du recourant. Cette conclusion est d’ailleurs confirmée par les mesures effectuées postérieurement par le Dr E_____ et protocolées dans son rapport du 30 septembre 2015. Il retient la persistance d’une limitation de la mobilité de l’épaule gauche qui atteint le plan de l’horizontale. Il conclut à une</w:t>
      </w:r>
    </w:p>
    <w:p>
      <w:r>
        <w:t>A/160/2018 - 17/32 - capacité de travail entière sans diminution de rendement dans une activité adaptée, à savoir réalisée indifféremment en positions assise ou debout, sans mouvement répété en rotation de l’épaule gauche, sans port de charges de ce côté, avec idéalement l’avant-bras gauche reposant sur un support ou une table. Le médecin d’arrondissement a maintenu son appréciation dans une note du 26 mai 2016. Celle-ci se fonde sur le rapport du Dr H_____ du 10 mars 2016 constatant l’absence d’anomalie sur le plan neurologique, ainsi que sur celui du Prof. G_____ du 11 avril 2016, dans lequel aucune perturbation significative de la cinématique scapulo-thoracique, ni incompétence de la coiffe n’a pu être observée. Le Prof. G_____ évoque la participation probable de facteurs organiques à l’évolution actuelle, étant précisé que la récidive partielle de la lésion partielle du sus-épineux ne saurait à elle-seule expliquer ni l’importance de l’état douloureux, ni l’impotence fonctionnelle. En définitive, les appréciations du Dr F_____ reposent sur un examen du recourant, sur les plaintes de celui-ci qu’il relativise, ainsi que sur le dossier radiologique et médical. Par ailleurs, l’évaluation du médecin d’arrondissement est confirmée par le rapport du Prof. G_____. Même si ce dernier ne se prononce pas sur la capacité de travail du recourant, il fait état de la probable participation de facteurs non orthopédiques et organiques dans l’évolution actuelle, respectivement il relativise les douleurs dont se plaint le recourant en relevant qu’elles ne sont pas explicables objectivement. Dès lors, il n’existe pas de doute quant à la capacité de travail entière du recourant dans une activité adaptée malgré les douleurs dont fait état le recourant, en l’absence de perturbation significative de la cinématique scapulo- thoracique, ainsi que l’a constaté le Prof. G_____. En effet,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 ; arrêt du Tribunal fédéral 9C_271/2011 du 26 octobre 2011 consid. 4.2).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Aussi, c’est à juste titre que le Dr F_____ a tenu compte des douleurs alléguées par le recourant, mais en a relativisé l’intensité en se fondant sur les limitations fonctionnelles objectivées, à savoir sur la mobilité mesurée lors de son examen clinique et sur les examens radiologiques, soit sur des éléments objectifs seuls pertinents dans ce type d’appréciation (cf. arrêt du Tribunal fédéral des assurances I 366/05 du 12 juillet 2005). Par ailleurs, la jurisprudence a confirmé plusieurs fois l’exigibilité d’une activité légère adaptée à plein temps, à savoir avec travaux légers et sans port de charges, en cas de lésions de l’épaule gauche (cf. notamment l’arrêt du Tribunal fédéral</w:t>
      </w:r>
    </w:p>
    <w:p>
      <w:r>
        <w:t>A/160/2018 - 18/32 - 9C_925/2009 du 16 juillet 2010 consid. 3.1), de sorte que l’appréciation du médecin d’arrondissement est cohérente. S’agissant des rapports du Dr E_____, il y a lieu de relever qu’en établissant des certificats médicaux attestant que le recourant avait repris le travail à 20 % dans une activité administrative, le médecin n’a pas considéré que sa capacité de travail dans une activité administrative était limitée à 20 %, mais seulement indiqué que la reprise du travail était de 20 %, à savoir le taux de la part administrative des tâches du recourant dans son entreprise, comme cela ressort de la notice téléphonique du</w:t>
      </w:r>
    </w:p>
    <w:p>
      <w:r>
        <w:rPr>
          <w:b/>
        </w:rPr>
        <w:t>E. 14</w:t>
      </w:r>
    </w:p>
    <w:p>
      <w:r>
        <w:t>juillet 2014. Dans son rapport du 19 avril 2016, il considère de façon peu claire qu’au vu du pronostic réservé, une augmentation du taux de travail de 20 % uniquement dans une activité de bureau n’est pas réalisable et ceci de manière définitive. Puis, dans son rapport du 23 juin 2016, il considère que la symptomatologie actuelle n’est que partiellement expliquée par la problématique orthopédique. Par conséquent, il admet qu’il y a lieu de relativiser les plaintes du recourant. De plus, dans ses divers rapports adressés à l’intimée, le Dr E_____ n’évalue à aucun moment la capacité de travail du recourant dans une activité adaptée. En revanche, dans son rapport du 3 avril 2014 adressé à l’OAI, il considère que dans une activité adaptée épargnant l’épaule gauche, le recourant présente une capacité de travail de 100 %, soit la même appréciation que celle du Dr F_____. Par ailleurs, ce dernier ne conclut pas à une capacité résiduelle de 15 %, mais bien de 100 %, étant précisé que le taux de 15 % qu’il retient concerne le degré de l’atteinte à l’intégrité. Par conséquent, les avis du Dr E_____ ne permettent pas de douter de la fiabilité et de la pertinence des appréciations du Dr F_____ du 10 août 2015, respectivement de leur valeur probante à la date de la décision litigieuse. En outre, il n’y a pas lieu de prendre en compte son rapport du 30 janvier 2019 dès lors qu’il concerne la rechute d’avril 2018, qui ne fait pas l’objet de la présente procédure. Dès lors, la chambre de céans suivra les conclusions du Dr F_____, à savoir que le recourant présente une capacité de travail de 100 % dès le 7 août 2015 dans une activité épargnant l’épaule gauche. b. S’agissant de l’accident du 5 décembre 2016, le Dr F_____ diagnostique un traumatisme du coude droit et de l’épitrochlée (rapport du 6 avril 2017). Il se réfère à l’IRM du 27 février 2017 qui met en évidence une tendinopathie insertionnelle du muscle brachial sans signe de désinsertion. À l’examen clinique, il constate une prono-/supination complète, comparable avec le côté controlatéral, ainsi qu’une palpation un peu douloureuse de la région de l’épitrochlée. Il conclut à la reprise de l’activité professionnelle dès le 12 avril 2017. Dans ses divers certificats médicaux, le Dr D_____ atteste une incapacité de travail à 100 % après le 12 avril 2017, sans expliquer pourquoi il retient une telle incapacité de travail et pourquoi il s’écarte de l’appréciation du médecin d’arrondissement. Étant donné que ses certificats médiaux ne contiennent aucune</w:t>
      </w:r>
    </w:p>
    <w:p>
      <w:r>
        <w:t>A/160/2018 - 19/32 - description clinique détaillée justifiant l’incapacité de travail retenue, ils ne remplissent pas les critères jurisprudentiels qui permettent de reconnaître à un rapport médical une valeur probante (ATF 134 V 231 consid. 5.1 ; ATF 133 V 450 consid. 11.1.3 ; ATF 125 V 351 consid. 3a) et ne sauraient mettre en doute la pertinence ainsi que la fiabilité de l’appréciation du Dr F_____ du 6 avril 2017, respectivement sa valeur probante. Par conséquent la chambre de céans suivra les conclusions du Dr F_____, à savoir que le recourant est en mesure de reprendre son activité professionnelle dès le 12 avril 2017. 10. Le recourant conteste le refus de l’intimée de lui verser une rente d’invalidité, plus particulièrement la méthode de calcul utilisée et le degré d’invalidité retenu.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w:t>
      </w:r>
    </w:p>
    <w:p>
      <w:r>
        <w:t>A/160/2018 - 20/32 -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U 244/04 consid. 3.1 ; arrêt du Tribunal fédéral 8C_179/2014 du</w:t>
      </w:r>
    </w:p>
    <w:p>
      <w:r>
        <w:rPr>
          <w:b/>
        </w:rPr>
        <w:t>E. 16</w:t>
      </w:r>
    </w:p>
    <w:p>
      <w:r>
        <w:t>mars 2015 consid. 4.1). 11. Le recourant conteste que son état de santé soit stabilisé et implicitement que l’intimée était en droit de statuer sur la rente d’invalidité. À cet égard, il méconnaît la portée de l’art. 19 al. 1 LAA, qui n’exige pas une stabilisation de l’état de santé pour statuer sur le droit à la rente d’invalidité, mais l’absence d’une sensible amélioration de l’état de santé escomptée de la poursuite du traitement. Or, en l’occurrence, le recourant ne soutient pas qu’un autre traitement médical serait en mesure d’améliorer significativement sa capacité de travail, mais conteste que sa capacité de travail résiduelle soit de 100 %. Par conséquent, l’intimée a retenu à juste titre que l’état de santé du recourant était stabilisé avec effet au 30 novembre 2015. 12. Pour calculer le degré d’invalidité du recourant, l’intimée a utilisé la méthode ordinaire de comparaison des revenus de l’art. 16 LPGA, alors que le recourant soutient qu’elle aurait dû utiliser la méthode extraordinaire d’évaluation de l’invalidité utilisée pour les indépendants.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w:t>
      </w:r>
    </w:p>
    <w:p>
      <w:r>
        <w:t>A/160/2018 - 21/32 -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 ATF 126 V 75 consid. 3b/aa). b. Si l'on ne peut déterminer ou évaluer sûrement le revenu hypothétique sans invalidité et le revenu d'invalide, il faut, en s'inspirant de la méthode spécifique pour non-actifs (art. 8 al. 3 LPGA),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 arrêt du Tribunal fédéral 8C_748/2008 du 10 juin 2009 consid. 2.1). c.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w:t>
      </w:r>
    </w:p>
    <w:p>
      <w:r>
        <w:t>A/160/2018 - 22/32 -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du Tribunal fédéral 9C_644/2015 du 3 mai 2016 consid. 4.3.1). D’après la jurisprudence, dans le cas d'un assuré de condition indépendante, on peut exiger, pour autant que la taille et l'organisation de son entreprise le permettent, qu'il réorganise son emploi du temps au sein de celle-ci en fonction de ses aptitudes résiduelles (arrêt du Tribunal fédéral 9C_236/2009 du 7 octobre 2009 consid. 4.2, in SVR 2010 IV n° 11 p. 35).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w:t>
      </w:r>
    </w:p>
    <w:p>
      <w:r>
        <w:rPr>
          <w:b/>
        </w:rPr>
        <w:t>E. 17</w:t>
      </w:r>
    </w:p>
    <w:p>
      <w:r>
        <w:t>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(ATF 122 V 377 consid. 2b/cc ; voir la jurisprudence résumée dans l'arrêt du Tribunal fédéral 9C_810/2017 du 9 avril 2018 consid. 2.2 ; 9C_578/2009 du 29 décembre 2009 consid. 4, in SVR 2010 IV n° 37 p. 115 ; arrêt du Tribunal fédéral 9C_46/2016 du 10 août 2016 consid. 4.4). De jurisprudence constante, ce n'est qu'à des conditions strictes que l'on peut considérer qu'un changement d'activité professionnelle, singulièrement la cessation d'une activité agricole, ne constitue pas une mesure raisonnablement exigible de l'assuré ; en particulier, l'activité exercée jusqu'alors ne doit pas être poursuivie aux coûts de l'assurance-invalidité, même si l'intéressé effectue un travail d'une certaine importance économique (arrêts du Tribunal fédéral 9C_644/2015 du 3 mai 2016 consid. 4.3.1 ; 8C_413/2015 du 3 novembre 2015 consid. 3.3.1 ; 9C_357/2014 du 7 avril 2015, consid. 2.3.1 ; 9C_624/2013 du 11 décembre 2013 consid. 3.1.1 ; 9C_834/2011 du 2 avril 2012 consid. 4 et les références). 13. En l’espèce, selon les explications données par le recourant, le 5 novembre 2013, en tant que patron de son entreprise, il exerçait une activité essentiellement physique sur les chantiers, à savoir peinture en bâtiment, carrelage, constructions diverses, déménagements, chauffeur poids-lourds. De plus, au vu de la capacité de travail de</w:t>
      </w:r>
    </w:p>
    <w:p>
      <w:r>
        <w:rPr>
          <w:b/>
        </w:rPr>
        <w:t>E. 20</w:t>
      </w:r>
    </w:p>
    <w:p>
      <w:r>
        <w:t>Au vu de ce qui précède, le recours est partiellement admis sur la seule question de la rente d’invalidité et la décision du 29 novembre 2017 est annulée au sens des considérants. Le dossier est renvoyé à l’intimée pour calcul de la rente d’invalidité. Le recourant étant représenté par un avocat et obtenant gain de cause, une indemnité de CHF 3'000.- lui sera accordée à titre de participation à ses frais et dépens (art. 61 let. g LPGA ; art. 6 du règlement sur les frais, émoluments et indemnités en matière administrative du 30 juillet 1986 [RFPA - E 5 10.03]). Pour le surplus, la procédure est gratuite (art. 61 let. a LPGA). * * * * * *</w:t>
      </w:r>
    </w:p>
    <w:p>
      <w:r>
        <w:t>A/160/2018 - 32/32 -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