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ATAS/896/2021 vom 26. August 2021</w:t>
      </w:r>
    </w:p>
    <w:p>
      <w:r>
        <w:t>GE Cour de justice, 2021-08-26, FR</w:t>
      </w:r>
    </w:p>
    <w:p>
      <w:r>
        <w:rPr>
          <w:b/>
        </w:rPr>
        <w:t xml:space="preserve">Quelle: </w:t>
      </w:r>
      <w:r>
        <w:t>https://mcp.opencaselaw.ch/entscheid/ge_gerichte_ATAS_896_2021</w:t>
      </w:r>
    </w:p>
    <w:p>
      <w:r>
        <w:t>FR: GE_GERICHTE ATAS/896/2021 du 26 août 2021</w:t>
      </w:r>
    </w:p>
    <w:p>
      <w:r>
        <w:t>IT: GE_GERICHTE ATAS/896/2021 del 26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A/2943/2020 - 5/9 -</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 erratum de la CdR de l’Ass. féd. du 19 mai 2021, publié le 18 juin 2021 in RO 2021 358).</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porte sur le droit du recourant à une rente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A/2943/2020 - 6/9 -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w:t>
      </w:r>
    </w:p>
    <w:p>
      <w:r>
        <w:t>A/2943/2020 - 7/9 -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le recourant soutient que sa capacité résiduelle de travail n'est plus que de 50% dans une activité adaptée, en invoquant l'avis de son rhumatologue traitant, alors que l'intimé, se fondant sur les conclusions du Dr D______, retient une capacité de 70% depuis avril 2017. Il convient en premier lieu d'examiner la valeur probante à accorder à l'expertise du Dr D______.</w:t>
      </w:r>
    </w:p>
    <w:p>
      <w:r>
        <w:t>A/2943/2020 - 8/9 - Tout d'abord, son rapport d'examen se fonde sur une anamnèse détaillée, un examen clinique du recourant et tient compte des plaintes rapportées par ce dernier. Il a été établi en pleine connaissance du dossier, notamment du rapport du Dr B______ du</w:t>
      </w:r>
    </w:p>
    <w:p>
      <w:r>
        <w:rPr>
          <w:b/>
        </w:rPr>
        <w:t>E. 12</w:t>
      </w:r>
    </w:p>
    <w:p>
      <w:r>
        <w:t>mai 2020, et ses conclusions, dûment motivées, ne laissent pas apparaître de contradiction. Il y a donc lieu de lui reconnaître pleine valeur probante ce, d'autant plus que les conclusions de l'expert, quant aux diagnostics et limitations fonctionnelles qu'ils entraînent, concordent avec celles du rhumatologue traitant. Seule leur évaluation de la capacité résiduelle de travail diverge. A ce propos, on rappellera que l'expert a été plus favorable à l'assuré en retenant une capacité de travail réduite à 70% dans une activité adaptée, alors que le Dr B______ avait conclu pour sa part, dans un premier temps, à une pleine capacité si les limitations fonctionnelles étaient respectées. Si le rhumatologue a été amené à revoir son évaluation défavorablement par la suite, c'est en réalité parce que l'employeur de l'assuré n'a pas respecté le cahier des charges de son employé. On en veut pour démonstration le fait que, selon le Dr B______, dans son rapport du 12 mai 2020, « tant que l’AI le payait à 100% pour sa formation complémentaire, il pouvait assumer une tâche sans port de charges, ni efforts physiques importants ». En d'autres termes, ce n'est pas parce qu'il y a eu apparition d'un nouvel élément médical objectif que le médecin-traitant a revu son évaluation à la baisse, mais parce qu'il est apparu que l'activité exercée ne répondait plus aux réquisits posés précédemment et ce, non du fait de la nature même du poste en question, mais de l'attitude du patron de l'assuré. Dans ces conditions, il n'y a pas lieu de s'écarter des conclusions dument motivées de l'expert selon lesquelles l'exercice d'une activité adaptée serait exigible à 70%. On ajoutera que si l'expert a retenu que la part de travail dévolue au port de charges équivalait à 20-30%, c'est en se basant sur les dires de l'intéressé lui-même. Ce n'est que dans son recours que celui-ci a allégué que cette part atteindrait en réalité 70, voire 80% de son temps de travail. Or, force est de constater qu'un emploi consistant à livrer durant 80% du temps ne correspond clairement pas à l'activité de contremaître pour laquelle a été formé l'assuré, dont il avait été convenu qu'il devait être affecté à la réalisation de devis et au conseil à la clientèle. Si l'activité était exercée comme elle devrait l'être et comme elle l'a d'ailleurs été dans un premier temps, elle serait parfaitement adaptée à l'état du recourant. Si le recourant ne parvient pas à faire respecter son cahier des charges, il n'appartient pas à l'assurance-invalidité d'y remédier. Il est au contraire exigible de sa part, vu ses capacités, son adaptabilité et son jeune âge, qu'il cherche un poste de contremaître – activité pour laquelle il est désormais pleinement formé – auprès d'un autre employeur. Eu égard aux considérations qui précèdent, il ressort que c'est à juste titre que l'intimé a reconnu à l'assuré une capacité résiduelle de travail de 70% et non de 50%. En conséquence, le recours est rejeté.</w:t>
      </w:r>
    </w:p>
    <w:p>
      <w:r>
        <w:t>A/2943/2020 - 9/9 -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