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ATAS/896/2011 vom 28. September 2011</w:t>
      </w:r>
    </w:p>
    <w:p>
      <w:r>
        <w:t>GE Cour de justice, 2011-09-28, FR</w:t>
      </w:r>
    </w:p>
    <w:p>
      <w:r>
        <w:rPr>
          <w:b/>
        </w:rPr>
        <w:t xml:space="preserve">Quelle: </w:t>
      </w:r>
      <w:r>
        <w:t>https://mcp.opencaselaw.ch/entscheid/ge_gerichte_ATAS_896_2011</w:t>
      </w:r>
    </w:p>
    <w:p>
      <w:r>
        <w:t>FR: GE_GERICHTE ATAS/896/2011 du 28 septembre 2011</w:t>
      </w:r>
    </w:p>
    <w:p>
      <w:r>
        <w:t>IT: GE_GERICHTE ATAS/896/2011 del 28 settembre 2011</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w:t>
      </w:r>
    </w:p>
    <w:p>
      <w:r>
        <w:t>A/1929/2011 3/4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 demandeur. Les dates pertinentes sont, d’une part, celle du mariage, le 3 septembre 2001, d’autre part le 1er juin 2011, date à laquelle le jugement de divorce est devenu exécutoire.</w:t>
      </w:r>
    </w:p>
    <w:p>
      <w:r>
        <w:rPr>
          <w:b/>
        </w:rPr>
        <w:t>E. 4</w:t>
      </w:r>
    </w:p>
    <w:p>
      <w:r>
        <w:t>Selon les documents recueillis, la prestation acquise pendant le mariage par le demandeur est de 29’296 fr. 25. Ainsi le demandeur doit à son ex-épouse le montant de 14’648 fr. 10( 29'296 fr. 25 : 2).</w:t>
      </w:r>
    </w:p>
    <w:p>
      <w:r>
        <w:t>Celle-ci ayant omis de communiquer à la Cour de céans les coordonnées de son compte de libre passage, l'avoir de vieillesse lui revenant sera versé sur un compte à ouvrir en son nom auprès de la Fondation Institution supplétive LPP, administration des comptes de libre passage, à Zurich.</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A/1929/2011 4/4</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