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ATAS/896/2010 vom 19. Mai 2010</w:t>
      </w:r>
    </w:p>
    <w:p>
      <w:r>
        <w:t>GE Cour de justice, 2010-05-19, FR</w:t>
      </w:r>
    </w:p>
    <w:p>
      <w:r>
        <w:rPr>
          <w:b/>
        </w:rPr>
        <w:t xml:space="preserve">Quelle: </w:t>
      </w:r>
      <w:r>
        <w:t>https://mcp.opencaselaw.ch/entscheid/ge_gerichte_ATAS_896_2010</w:t>
      </w:r>
    </w:p>
    <w:p>
      <w:r>
        <w:t>FR: GE_GERICHTE ATAS/896/2010 du 19 mai 2010</w:t>
      </w:r>
    </w:p>
    <w:p>
      <w:r>
        <w:t>IT: GE_GERICHTE ATAS/896/2010 del 19 maggio 2010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A/2378/2010 ATAS/896/2010 ARRET DU TRIBUNAL CANTONAL DES ASSURANCES SOCIALES Chambre 5 du 1er septembre 2010</w:t>
      </w:r>
    </w:p>
    <w:p>
      <w:r>
        <w:t>En la cause Monsieur L__________, domicilié à Meyrin, comparant avec élection de domicile en l'étude de Maître NGUYEN OBERHAENSLI Kieu-Oanh recourant</w:t>
      </w:r>
    </w:p>
    <w:p>
      <w:r>
        <w:t>contre OFFICE DE L'ASSURANCE-INVALIDITE DU CANTON DE GENEVE, sis rue de Lyon 97, Genève intimé</w:t>
      </w:r>
    </w:p>
    <w:p>
      <w:r>
        <w:t>A/2378/2010 - 2/2 -</w:t>
      </w:r>
    </w:p>
    <w:p>
      <w:r>
        <w:t>Vu le recours du 6 juillet 2010 de Monsieur L__________, par l'intermédiaire de son conseil, contre la décision du 19 mai 2010 de l'Office de l'assurance-invalidité du canton de Genève; Vu le retrait du recours, par courrier du 7 juillet 2010;</w:t>
      </w:r>
    </w:p>
    <w:p>
      <w:r>
        <w:t>PAR CES MOTIFS, LE TRIBUNAL CANTONAL DES ASSURANCES SOCIALES : 1. Prend acte du retrait du recours; 2. Raye la cause du rôle.</w:t>
      </w:r>
    </w:p>
    <w:p>
      <w:r>
        <w:t>La greffière</w:t>
      </w:r>
    </w:p>
    <w:p>
      <w:r>
        <w:t>Claire CHAVANNES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