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ATAS/895/2021 vom 26. August 2021</w:t>
      </w:r>
    </w:p>
    <w:p>
      <w:r>
        <w:t>GE Cour de justice, 2021-08-26, FR</w:t>
      </w:r>
    </w:p>
    <w:p>
      <w:r>
        <w:rPr>
          <w:b/>
        </w:rPr>
        <w:t xml:space="preserve">Quelle: </w:t>
      </w:r>
      <w:r>
        <w:t>https://mcp.opencaselaw.ch/entscheid/ge_gerichte_ATAS_895_2021</w:t>
      </w:r>
    </w:p>
    <w:p>
      <w:r>
        <w:t>FR: GE_GERICHTE ATAS/895/2021 du 26 août 2021</w:t>
      </w:r>
    </w:p>
    <w:p>
      <w:r>
        <w:t>IT: GE_GERICHTE ATAS/895/2021 del 26 agosto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w:t>
      </w:r>
    </w:p>
    <w:p>
      <w:r>
        <w:t>A/2744/2020 - 3/6 -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Toutefois, dans la mesure où le recours était alors pendant devant la Cour de céans, il reste soumis à l'ancien droit (cf. art. 82a LPGA ; RO 2020 5137 ; FF 2018 1597 ; erratum de la CdR de l’Ass. féd. du 19 mai 2021, publié le 18 juin 2021 in RO 2021 358).</w:t>
      </w:r>
    </w:p>
    <w:p>
      <w:r>
        <w:rPr>
          <w:b/>
        </w:rPr>
        <w:t>E. 4</w:t>
      </w:r>
    </w:p>
    <w:p>
      <w:r>
        <w:t>Le recours, interjeté dans les forme et délai prescrits par la loi, est recevable (art. 56 LPGA; art. 62 al. 1 de la de loi sur la procédure administrative du 12 septembre 1985 [LPA - E 5 10]).</w:t>
      </w:r>
    </w:p>
    <w:p>
      <w:r>
        <w:rPr>
          <w:b/>
        </w:rPr>
        <w:t>E. 5</w:t>
      </w:r>
    </w:p>
    <w:p>
      <w:r>
        <w:t>L'objet du litige se limite à la question de savoir si la décision en restitution de l'intimée est intervenue en temps utile - le fait que des prestations aient été versées à tort n’est en effet pas contesté, pas plus que leur montant -, étant précisé que les arguments concernant la bonne foi et la situation financière difficile de la recourante - relatifs à la demande de remise de l’obligation de restituer - ne seront cas échéant examinés qu’ultérieurement par l'intimée et feront l’objet d'une nouvelle décision sujette à opposition, si le bien-fondé de la demande en restitution devait être confirmé.</w:t>
      </w:r>
    </w:p>
    <w:p>
      <w:r>
        <w:rPr>
          <w:b/>
        </w:rPr>
        <w:t>E. 6</w:t>
      </w:r>
    </w:p>
    <w:p>
      <w:r>
        <w:t>Aux termes de l’art. 25 al. 1 LPGA, les prestations indûment touchées doivent être restituées. Selon la jurisprudence,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w:t>
      </w:r>
    </w:p>
    <w:p>
      <w:r>
        <w:t>A/2744/2020 - 4/6 - consid. 2c, 173 consid. 4a, 272 consid. 2, 121 V 4 consid. 6 et les références),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w:t>
      </w:r>
    </w:p>
    <w:p>
      <w:r>
        <w:rPr>
          <w:b/>
        </w:rPr>
        <w:t>E. 7</w:t>
      </w:r>
    </w:p>
    <w:p>
      <w:r>
        <w:t>Aux termes de l’art. 25 al. 2 LPGA, le droit de demander la restitution s’éteint un an après le moment où l’institution d’assurance a eu connaissance du fait, mais au plus tard cinq ans après le versement de la prestation. Les délais institués par l'art. 25 al. 2 LPGA ont un caractère de péremption (ATF 133 V 579 consid. 4.1, 119 V 431 consid. 3a, 111 V 135 consid. 2 et 3) et ne peuvent dès lors, comme tels, être ni suspendus, ni interrompus (ATF 117 V 208 consid. 3a). La péremption opère de plein droit. Elle est toujours examinée d'office par le juge (ATF 111 V 135 consid. 3b). Le délai relatif d'une année commence à courir dès que l'administration aurait dû s'apercevoir, en faisant preuve de l'attention raisonnablement exigible, que les conditions d'une restitution étaient données (Ueli Kieser, ATSG-Kommentar : Kommentar zum Bundesgesetz über den Allgemeinen Teil des Sozialversicherungs-rechts vom 6. Oktober 2000, Zurich 2003, note 27 ad art. 25; ATF 124 V 380 consid. 1, 119 V 431 consid. 3a et réf. cit.). Le délai ne court toutefois pas à compter du moment où, en ayant fait preuve de diligence, l'administration a connaissance de faits qui pourraient éventuellement donner lieu à restitution, mais seulement dès qu'elle est informée de toutes les circonstances qui lui permettent d'exiger la restitution à l'égard des personnes déterminées (RCC 1989 p. 594 consid. 4b, ATF 112 V 180 consid. 4b).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p. 383).</w:t>
      </w:r>
    </w:p>
    <w:p>
      <w:r>
        <w:rPr>
          <w:b/>
        </w:rPr>
        <w:t>E. 8</w:t>
      </w:r>
    </w:p>
    <w:p>
      <w:r>
        <w:t>En l'espèce, l'intimée a commis une erreur dans sa décision du 2 juin 2010 en calculant les prestations sans tenir compte du fait que l’intéressée était déjà au bénéfice d’une rente de l’AVS. Il s'agit-là clairement d'une erreur manifeste et la condition relative à l'importance notable de la rectification est également remplie, au vu de l'importance du montant versé indûment. Les conditions d'une reconsidération ne font dès lors aucun doute et ne sont d'ailleurs pas contestées par la recourante. S'agissant du dies a quo du délai de péremption d'une année, l'intimée rappelle qu'il ne saurait remonter au moment où l'erreur a été commise, mais seulement au jour où elle en a pris conscience, à savoir, en l'occurrence, le 15 janvier 2020.</w:t>
      </w:r>
    </w:p>
    <w:p>
      <w:r>
        <w:t>A/2744/2020 - 5/6 - La recourante soutient pour sa part qu'en tant qu’organe spécialisé, la SUVA ne pouvait ignorer l'existence parallèle des rentes servies par l'AVS. Elle en tire la conclusion qu’au moment de réactiver les rentes, en juin 2010, l'intimée en faisant preuve de l’attention requise par les circonstances, aurait dû se rendre compte de son erreur. Conformément à la jurisprudence rappelée supra, le point de départ du délai n’est pas le moment où la faute a été commise - ici en 1997 déjà -, mais le moment où l’intimée aurait dû, dans un deuxième temps, se rendre compte de son erreur en faisant preuve de l’attention requise. Il ne s'agit dès lors pas de déterminer quand l'intimée s'est effectivement rendu compte de son erreur, mais bien quand il était exigible de sa part qu'elle s'en rende compte. En l'occurrence, l'intimée a commis une première erreur lors de l'octroi initial des prestations, en 1997. Elle l'a réitérée en 2010, lorsqu'il s'est agi de réactiver le droit de la recourante, alors même qu'on aurait pu attendre de sa part qu'elle prenne alors conscience de l'erreur initiale. En effet, ainsi que le fait remarquer à juste titre la recourante, l'intimée, au vu du caractère complémentaire des prestations servies par elle, ne pouvait ignorer l'existence de rentes analogues allouées parallèlement par l'AVS. Qu'elle les ait occultées une première fois constituait une erreur que le traitement diligent du dossier aurait dû permettre d'éviter une seconde fois en 2010. Qui plus est, il ressort du dossier qu'entre 2010 et 2020, des attestations de formation ont été régulièrement fournies au fil des ans concernant les enfants de la recourante. Dès lors, on ne voit pas pourquoi c'est seulement à réception de l'information selon laquelle C______ avait terminé la sienne que l'intimée a réalisé les erreurs précédemment commises. Au vu de ce qui précède, le recours est admis, la demande de restitution de l’intimée apparaissant périmée pour cause de tardiveté.</w:t>
      </w:r>
    </w:p>
    <w:p>
      <w:r>
        <w:t>A/2744/2020 - 6/6 -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