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ATAS/895/2019 vom 1. Oktober 2019</w:t>
      </w:r>
    </w:p>
    <w:p>
      <w:r>
        <w:t>GE Cour de justice, 2019-10-01, FR</w:t>
      </w:r>
    </w:p>
    <w:p>
      <w:r>
        <w:rPr>
          <w:b/>
        </w:rPr>
        <w:t xml:space="preserve">Quelle: </w:t>
      </w:r>
      <w:r>
        <w:t>https://mcp.opencaselaw.ch/entscheid/ge_gerichte_ATAS_895_2019</w:t>
      </w:r>
    </w:p>
    <w:p>
      <w:r>
        <w:t>FR: GE_GERICHTE ATAS/895/2019 du 1 octobre 2019</w:t>
      </w:r>
    </w:p>
    <w:p>
      <w:r>
        <w:t>IT: GE_GERICHTE ATAS/895/2019 del 1 ottobre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 et délai prescrits par la loi, le présent recours est recevable (art. 56 à 61 LPGA).</w:t>
      </w:r>
    </w:p>
    <w:p>
      <w:r>
        <w:rPr>
          <w:b/>
        </w:rPr>
        <w:t>E. 3</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contestation et l'objet du litige sont identiques lorsque la décision administrative est attaquée dans son ensemble. En</w:t>
      </w:r>
    </w:p>
    <w:p>
      <w:r>
        <w:t>A/1380/2019 - 11/18 - revanche, lorsque le recours ne porte que sur une partie des rapports juridiques déterminés par la décision, les rapports juridiques non contestés sont certes compris dans l'objet de la contestation, mais non pas dans l'objet du litige.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(arrêt du Tribunal fédéral 9C_441/2008 du 10 juin 2009 consid. 2.2). En l’espèce, la décision dont est recours tranche le droit du recourant à des mesures d’ordre professionnel, malgré son intitulé se référant uniquement au droit à la rente. Cela étant, les conclusions du recourant, telles qu’interprétées dans l’argumentation qu’il développe à leur appui, se limitent à l’octroi d’une rente. Partant, la chambre de céans restreindra son examen à ce seul point.</w:t>
      </w:r>
    </w:p>
    <w:p>
      <w:r>
        <w:rPr>
          <w:b/>
        </w:rPr>
        <w:t>E. 4</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L’art. 28 al. 2 LAI dispose que l’assuré a droit à une rente entière s’il est invalide à 70 % au moins, à trois-quarts de rente s’il est invalide à 60 % au moins, à une demi-rente s’il est invalide à 50 % au moins ou à un quart de rente s’il est invalide à 40 % au moins.</w:t>
      </w:r>
    </w:p>
    <w:p>
      <w:r>
        <w:rPr>
          <w:b/>
        </w:rPr>
        <w:t>E. 5</w:t>
      </w:r>
    </w:p>
    <w:p>
      <w:r>
        <w:t>L’art. 8 al. 1er LPGA définit l’invalidité comme l’incapacité de gain totale ou partielle qui est présumée permanente ou de longue durée. À teneur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6</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w:t>
      </w:r>
    </w:p>
    <w:p>
      <w:r>
        <w:t>A/1380/2019 - 12/18 -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w:t>
      </w:r>
    </w:p>
    <w:p>
      <w:r>
        <w:t>A/1380/2019 - 13/18 - ayant été ignorés dans le cadre de l'expertise et qui sont suffisamment pertinents pour remettre en cause les conclusions de l'expert (arrêt du Tribunal fédéral 9C_405/2008 du 29 septembre 2008 consid. 3.2).</w:t>
      </w:r>
    </w:p>
    <w:p>
      <w:r>
        <w:rPr>
          <w:b/>
        </w:rPr>
        <w:t>E. 7</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 du Tribunal fédéral des assurances I 168/05 du 24 avril 2006 consid. 3.3). Pour déterminer le revenu d'invalide de l'assuré, il faut en l'absence d'un revenu effectivement réalisé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w:t>
      </w:r>
    </w:p>
    <w:p>
      <w:r>
        <w:rPr>
          <w:b/>
        </w:rPr>
        <w:t>E. 8</w:t>
      </w:r>
    </w:p>
    <w:p>
      <w:r>
        <w:t>Lorsqu'il s'agit d'examiner dans quelle mesure un assuré peut encore exploiter économiquement sa capacité de gain résiduelle sur le marché du travail, on ne</w:t>
      </w:r>
    </w:p>
    <w:p>
      <w:r>
        <w:t>A/1380/2019 - 14/18 - saurait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du Tribunal fédéral 9C_695/2010 du 15 mars 2011 consid. 5).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9C_849/2007 du 22 juillet 2008 consid. 5.2).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Indépendamment de l'examen de la condition de l'obligation de réduire le dommage (ATF 123 V 230 consid. 3c),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(arrêts du Tribunal fédéral 8C_150/2013 du 23 septembre 2013 consid. 3.2 et 9C_1043/2008 du 2 juillet 2009 consid. 3.2). L’assurance-invalidité n’a pas à répondre du fait qu’un assuré ne trouve plus d’emploi adapté à ses atteintes à la santé en raison de son âge. Dans le cadre de l’examen de l’exigibilité qu’imposent tant la notion de marché du travail équilibré que le devoir de réadaptation – examen qui interdit de partir d’hypothèses irréalistes, l’âge avancé ne constitue toutefois pas un facteur étranger à l’invalidité mais fait partie des caractéristiques qui, cumulées aux circonstances personnelles et professionnelles, peuvent avoir pour conséquence que la capacité résiduelle de gain de l’assuré n’est de manière réaliste plus demandée sur le marché équilibré du travail et que sa mise en valeur n’est plus exigible (arrêt du Tribunal fédéral des assurances I 819/04 du 27 mai 2005 consid. 2.2 et les références). Le moment auquel la question de la mise en valeur de la capacité (résiduelle) de travail pour un assuré proche de l'âge de la retraite doit être examinée correspond au moment</w:t>
      </w:r>
    </w:p>
    <w:p>
      <w:r>
        <w:t>A/1380/2019 - 15/18 - auquel il a été constaté que l'exercice d'une activité lucrative était médicalement exigible, soit dès que les documents médicaux permettent d'établir de manière fiable les faits y relatifs (ATF 138 V 457 consid. 3). Le Tribunal fédéral a considéré que le seuil dès lequel on peut parler d’âge avancé se situe à 60 ans (arrêt du Tribunal fédéral 9C_612/2007 du 14 juillet 2008 consid. 5.2). Par la suite, notre Haute Cour a précisé qu’elle n’avait jamais fixé de manière ferme et définitive à 60 ans la limite à partir de laquelle il fallait adopter une méthode plus concrète de l'évaluation de l'invalidité, mais qu’elle avait de manière constante affirmé qu'il fallait procéder à une analyse globale de la situation dans laquelle l'âge de 60 ans constituait l'un des facteurs pouvant rendre irréaliste une réintégration du marché du travail (arrêt du Tribunal fédéral 9C_237/2018 du 31 août 2018 consid. 5.2).</w:t>
      </w:r>
    </w:p>
    <w:p>
      <w:r>
        <w:rPr>
          <w:b/>
        </w:rPr>
        <w:t>E. 9</w:t>
      </w:r>
    </w:p>
    <w:p>
      <w:r>
        <w:t>Dans un arrêt de principe de 2011, le Tribunal fédéral a établi des exigences accrues en matière de participation des assurés lorsqu’une assurance sociale diligente une expertise, eu égard à leur droit d’être entendus. Ces exigences comprennent le droit de se prononcer sur le choix de l'expert, de connaître les questions qui lui seront posées, et d'en formuler d'autres (ATF 137 V 210 consid. 3.2.4.6 et 3.2.4.9). Ces exigences sont applicables également lors de la mise en œuvre d’une expertise mono-disciplinaire (arrêt du Tribunal fédéral 9C_440/2018 du 22 octobre 2018 consid. 5.2). En l’espèce, l’intimé a diligenté l’expertise du Dr J______ sans respecter les garanties précitées. Cependant, dès lors que le recourant ne soulève pas ce grief d’ordre formel, un renvoi à l’intimé pour ce seul motif ne se justifie pas.</w:t>
      </w:r>
    </w:p>
    <w:p>
      <w:r>
        <w:rPr>
          <w:b/>
        </w:rPr>
        <w:t>E. 10</w:t>
      </w:r>
    </w:p>
    <w:p>
      <w:r>
        <w:t>L’intimé a fondé son calcul du degré d’invalidité sur une capacité de travail entière dans une activité adaptée, telle que définie par l’expert rhumatologue. Le rapport de ce dernier repose sur l’étude du dossier médical du recourant, incluant l’analyse des documents d’imagerie, sur un entretien lors duquel les plaintes ont été recueillies, sur une anamnèse et sur ses constatations cliniques. Il contient des diagnostics précis et des conclusions claires. Ainsi, il comprend tous les éléments formels nécessaires selon la jurisprudence. Du point de vue matériel, le Dr J______ a pris soin de motiver son appréciation et d’exposer de manière précise et détaillée les éléments qui fondent ses conclusions. Son expertise doit dès lors se voir reconnaître une pleine valeur probante. Les arguments du recourant ne suffisent pas à s’en écarter. En tant qu’il entend nier la valeur probante de l’expertise du Dr J______ en raison de son caractère prétendument succinct, sa critique tombe à faux. En effet, le Dr J______ a pris connaissance et discuté de l’ensemble des documents médicaux à disposition. Cet expert a recensé les plaintes du recourant, en l’interrogeant sur celles qu’il n’avait pas signalées spontanément. Le recourant n’allègue du reste pas qu’il aurait omis un diagnostic ou une plainte, fût-ce pour l’écarter. On ne peut ainsi pas reprocher à son rapport d’être lacunaire. Quant à la violation du droit d’être entendu alléguée en lien avec l’absence d’interprète, force est de constater que le Dr J______ a été en mesure de s’entretenir avec le recourant sur ses douleurs malgré la barrière</w:t>
      </w:r>
    </w:p>
    <w:p>
      <w:r>
        <w:t>A/1380/2019 - 16/18 - linguistique. Ce dernier n’affirme du reste pas que l’expert aurait rapporté ses propos de manière erronée. S’agissant du grief ayant trait au fait que le médecin examinateur a écarté la tendinopathie, que le recourant considère objectivée par la palpation douloureuse du long chef du biceps mentionnée par le Dr F______, il convient de souligner que la douleur relève précisément d’un symptôme subjectif. En outre, les explications du Dr J______ sur l’évolution de l’atteinte à l’épaule et sur son incidence sur la capacité de gain du recourant ne sont contredites par aucun autre avis médical récent. Le recourant ne conteste d’ailleurs pas avoir signalé une amélioration sur ce plan à l’expert. Les autres avis médicaux ne remettent pas en cause les conclusions du Dr J______. On notera en premier lieu que le Dr D______ avait déjà en 2014 admis une capacité de travail dans une activité adaptée. La performance était certes limitée selon ce médecin. Cependant, les baisses de rendement qu’il a indiquées ne sont guère motivées, et le stage aux EPI, lors duquel le recourant a pu travailler sans diminution de rendement, démontre que ce dernier peut être occupé à temps plein dans une activité adaptée. Quant au rapport de la Dresse B______ du 23 mai 2017, il établit certes une incapacité de travail dans l’activité habituelle – laquelle est également admise par le Dr J______ – mais ne se prononce pas formellement sur une activité adaptée. Les médecins des HUG ne se sont pas non plus exprimés à ce sujet. En ce qui concerne le rapport du Dr H______, il ne motive pas non plus de façon suffisante la limitation à quatre heures par jour de l’exercice d’une activité adaptée. Compte tenu de ce qui précède, la chambre de céans se ralliera à l’appréciation du Dr J______, selon laquelle le recourant présente une capacité de travail nulle dans l’activité habituelle de maçon depuis avril 2013, mais complète dans une activité respectant ses limitations fonctionnelles depuis janvier 2014.</w:t>
      </w:r>
    </w:p>
    <w:p>
      <w:r>
        <w:rPr>
          <w:b/>
        </w:rPr>
        <w:t>E. 11</w:t>
      </w:r>
    </w:p>
    <w:p>
      <w:r>
        <w:t>Reste à vérifier le calcul du degré d’invalidité du recourant. S’agissant du revenu sans invalidité, l’intimé s’est fondé sur le salaire réalisé par le recourant dans le cadre de la mission temporaire débutée en 2013. Or, dès lors qu’il ne s’agissait pas d’une relation de travail pérenne, il convient de se référer plutôt aux salaires statistiques. Le recourant ayant travaillé en tant que maçon dès son arrivée en Suisse, on se référera au salaire statistique dans la construction pour un homme sans qualification, soit CHF 5'507.- par mois et CHF 66'084.- par an (ESS 2014, TA1_tirage_skill_level, Lignes 41-43, niveau 1). Adapté à la durée normale de travail de 41.7 heures en 2017, le revenu sans invalidité s’élève ainsi à CHF 68'893.-. En ce qui concerne le revenu après invalidité, il faut en préambule préciser que c’est à juste titre que l’intimé a retenu que la mise en valeur de la capacité de travail dans une activité adaptée était exigible sur un marché équilibré du travail. Certes, le recourant avait atteint l’âge de 60 ans lorsque sa capacité de gain a été formellement établie par le Dr J______. Cela ne suffit toutefois pas à considérer que la réinsertion est irréaliste sur un marché du travail équilibré au vu de</w:t>
      </w:r>
    </w:p>
    <w:p>
      <w:r>
        <w:t>A/1380/2019 - 17/18 - l’ensemble des circonstances. En effet, le recourant a été confronté à de nombreuses reprises dans son parcours professionnel à des changements d’activité, ce qui révèle des capacités d’adaptation certaines, que confirme également le rapport de stage aux EPI (pour des cas similaires, cf. arrêts du Tribunal fédéral 9C_391/2017 du 27 novembre 2017 consid. 4.2 et 9C_695/2010 du 15 mars 2011 consid. 6.2). En outre, les limitations fonctionnelles du recourant relèvent essentiellement de mesures d’épargne du rachis, qui ne sont pas particulièrement contraignantes et qui n’excluent pas l’accès au large éventail d’activités légères non qualifiées que comprend un marché équilibré du travail. Quant aux difficultés linguistiques qui feraient obstacle à sa réinsertion, il s’agit de jurisprudence constante d’un facteur étranger à l’invalidité (arrêt du Tribunal fédéral 9C_344/2015 du 25 novembre 2015 consid. 2.3). En outre, les activités simples et répétitives correspondant aux niveaux 4 jusqu’à l’ESS 2010 et au niveau 1 dès l’ESS 2012 ne supposent par définition pas de bonnes connaissances linguistiques (arrêt du Tribunal fédéral 9C_426/2014 du 18 août 2014 consid. 4.2). Ainsi, le recours au revenu tiré d’activités simples et répétitives de l’ESS 2014 (A1_tirage_skill_level, Ligne Total, niveau 1) est correct. En revanche, le chiffre de CHF 5'395.- mentionné à ce titre est erroné. En effet, ce revenu était de 5'312.- par mois en 2014, soit CHF 63'744.- et CHF 66'453.- une fois adapté à la durée normale de travail. En procédant à un abattement de 20 % sur ce revenu, l’intimé est resté dans les limites de son pouvoir d’appréciation, et il n’y a ainsi pas lieu de s’en écarter. Cela réduit le revenu d’invalide à CHF 53'162.40. La comparaison des revenus aboutit ainsi à une perte de gain de 22.83 %, arrondi à 23 % (ATF 130 V 21 consid. 3). Par surabondance, même un abattement de 25 % ne suffirait pas à ouvrir le droit à une rente d’invalidité, puisqu’il réduirait le revenu d’invalide à CHF 49'840.-, ce qui correspond à un degré d’invalidité de 27.66 %, arrondi à 28 %.</w:t>
      </w:r>
    </w:p>
    <w:p>
      <w:r>
        <w:rPr>
          <w:b/>
        </w:rPr>
        <w:t>E. 12</w:t>
      </w:r>
    </w:p>
    <w:p>
      <w:r>
        <w:t>Compte tenu de ce qui précède, la décision de l’intimé doit être confirmée dans son résultat. Le recourant plaidant au bénéfice de l'assistance juridique, il est renoncé à percevoir l'émolument de justice prévu à l'art. 69 al. 1bis LAI (art. 13 al. 1 du règlement sur les frais, émoluments et indemnités en procédure administrative [RFPA - E 5 10.03]). * * * * * *</w:t>
      </w:r>
    </w:p>
    <w:p>
      <w:r>
        <w:t>A/1380/2019 - 18/18 -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