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ATAS/895/2015 vom 19. November 2015</w:t>
      </w:r>
    </w:p>
    <w:p>
      <w:r>
        <w:t>GE Cour de justice, 2015-11-19, FR</w:t>
      </w:r>
    </w:p>
    <w:p>
      <w:r>
        <w:rPr>
          <w:b/>
        </w:rPr>
        <w:t xml:space="preserve">Quelle: </w:t>
      </w:r>
      <w:r>
        <w:t>https://mcp.opencaselaw.ch/entscheid/ge_gerichte_ATAS_895_2015</w:t>
      </w:r>
    </w:p>
    <w:p>
      <w:r>
        <w:t>FR: GE_GERICHTE ATAS/895/2015 du 19 novembre 2015</w:t>
      </w:r>
    </w:p>
    <w:p>
      <w:r>
        <w:t>IT: GE_GERICHTE ATAS/895/2015 del 19 novembre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20 octobre 2000, d’autre part le 10 mars 2015, date à laquelle le jugement de divorce est devenu exécutoire.</w:t>
      </w:r>
    </w:p>
    <w:p>
      <w:r>
        <w:rPr>
          <w:b/>
        </w:rPr>
        <w:t>E. 5</w:t>
      </w:r>
    </w:p>
    <w:p>
      <w:r>
        <w:t>Selon les documents produits, la prestation acquise pendant le mariage par le demandeur est de CHF 120'319.29. Ce montant tient compte de prestations de libre passage de CHF 135'448.11 (CHF 135'377.50 + CHF 70.61) au moment du divorce, dont il faut déduire les avoirs de vieillesse au moment du mariage, y compris les intérêts encourus jusqu'au divorce, à savoir CHF 7'678.70 lors de l'affiliation du demandeur à la CPC, et CHF 7'450.12 (5'241.50 + les intérêts) lors</w:t>
      </w:r>
    </w:p>
    <w:p>
      <w:r>
        <w:t>A/1922/2015 4/5 de son affiliation à la Fondation de libre passage du Crédit Suisse. Ainsi le demandeur doit à son ex-épouse le montant de CHF 60'159.65 (CHF 120'319.29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A/1922/2015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