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ATAS/894/2021 vom 1. September 2021</w:t>
      </w:r>
    </w:p>
    <w:p>
      <w:r>
        <w:t>GE Cour de justice, 2021-09-01, FR</w:t>
      </w:r>
    </w:p>
    <w:p>
      <w:r>
        <w:rPr>
          <w:b/>
        </w:rPr>
        <w:t xml:space="preserve">Quelle: </w:t>
      </w:r>
      <w:r>
        <w:t>https://mcp.opencaselaw.ch/entscheid/ge_gerichte_ATAS_894_2021</w:t>
      </w:r>
    </w:p>
    <w:p>
      <w:r>
        <w:t>FR: GE_GERICHTE ATAS/894/2021 du 1 septembre 2021</w:t>
      </w:r>
    </w:p>
    <w:p>
      <w:r>
        <w:t>IT: GE_GERICHTE ATAS/894/2021 del 1 settembre 2021</w:t>
      </w:r>
    </w:p>
    <w:p>
      <w:pPr>
        <w:pStyle w:val="Heading2"/>
      </w:pPr>
      <w:r>
        <w:t>Erwägungen</w:t>
      </w:r>
    </w:p>
    <w:p>
      <w:r>
        <w:rPr>
          <w:b/>
        </w:rPr>
        <w:t>E. 1</w:t>
      </w:r>
    </w:p>
    <w:p>
      <w:r>
        <w:t>a. 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la décision attaquée ayant été rendue sur opposition en application des lois précitées. b. Le recours a été interjeté en temps utile (art. 60 al. 1 LPGA), c. Ainsi qu'il a été complété dans le délai imparti, le recours satisfait aux exigences de forme et de contenu posées par la loi (art. 61 let. b LPGA ; cf. aussi art. 89B LPA).</w:t>
      </w:r>
    </w:p>
    <w:p>
      <w:r>
        <w:t>A/1036/2020 - 6/11 - d. Touchée par la décision attaquée et ayant un intérêt digne de protection à son annulation ou sa modification, la recourante a qualité pour recourir (art. 59 LPGA ; art. 60 al. 1 let. a et b et 89A LPA). e. Le recours est donc recevable, dans la mesure où il est dirigé contre la décision sur opposition que l'intimée a rendue le 20 février 2020 (cf. infra consid. 3).</w:t>
      </w:r>
    </w:p>
    <w:p>
      <w:r>
        <w:rPr>
          <w:b/>
        </w:rPr>
        <w:t>E. 2</w:t>
      </w:r>
    </w:p>
    <w:p>
      <w:r>
        <w:t>Le 1er janvier 2021 est entrée en vigueur la modification du 21 juin 2019 de la LPGA. Toutefois, dans la mesure où le recours était pendant devant la chambre de céans au 1er janvier 2021, il reste soumis à l'ancien droit (cf. art. 82a LPGA ; RO 2020 5137 ; FF 2018 1597 ; erratum de la CdR de l’Ass.féd. du 19 mai 2021, publié le 18 juin 2021 in RO 2021 358).</w:t>
      </w:r>
    </w:p>
    <w:p>
      <w:r>
        <w:rPr>
          <w:b/>
        </w:rPr>
        <w:t>E. 3</w:t>
      </w:r>
    </w:p>
    <w:p>
      <w:r>
        <w:t>L'objet du recours est délimité par celui de la décision attaquée. Le litige porte donc sur les CHF 1'065.- de frais que l'intimée a mis à la charge de la recourante pour l'établissement et l'envoi d'une sommation pour chacune des huit factures de cotisations personnelles impayées portant sur les années 2010 à 2016 et sur les trois premiers trimestres de l'année 2017. Le recours ne serait pas recevable dans la mesure où il faudrait considérer qu'il a été interjeté aussi contre le constat d'insolvabilité du 14 janvier 2020, dont la recourante demande l'annulation.</w:t>
      </w:r>
    </w:p>
    <w:p>
      <w:r>
        <w:rPr>
          <w:b/>
        </w:rPr>
        <w:t>E. 4</w:t>
      </w:r>
    </w:p>
    <w:p>
      <w:r>
        <w:t>a. A propos des cotisations, plus précisément de leur perception, la LAVS charge le Conseil fédéral d'édicter des dispositions notamment sur les délais de paiement et la procédure de sommation (art. 14 al. 4 let. a et b LAVS ; cf. plus généralement art. 154 al. 2 LAVS) et elle prévoit que les cotisations non versées après sommation sont perçues sans délai par voie de poursuite (art. 15 al. 1 LAVS). Selon l'art. 34a RAVS, en cas de non-paiement des cotisations dans les délais prescrits, la caisse de compensation adresse aux personnes tenues de les payer une sommation écrite (al. 1), assortie d'une taxe de CHF 20.- à 200.- (al. 2). De même, l'art. 205 RAVS stipule que celui qui enfreint les prescriptions d'ordre et de contrôle fixées par la LAVS et le RAVS recevra de la caisse de compensation une sommation écrite mettant à sa charge une taxe de CHF 20.- à 200.- (al. 1), exécutoire dès son prononcé (al. 2). b. Comme l'indiquent les directives de l'office fédéral des assurances sociales (ci- après : OFAS) sur la perception des cotisations dans l'AVS, AI et APG (ci-après : DP), la taxe de CHF 20.- à 200.- qui doit être prélevée en cas de sommation est une indemnité pour le travail supplémentaire dû à la sommation (ch. 2183 des DP dans leur version valable dès le 1er janvier 2014 = ch. 2197 des DP dans leur version valable dès le 1er janvier 2021). c. La taxe de sommation prévue par l'art. 34a RAVS constitue une contribution publique de nature causale, plus précisément un émolument administratif, que l’administré doit payer pour financer des activités administratives qu’il engendre par sa demande ou par son comportement. Elle doit même être qualifiée</w:t>
      </w:r>
    </w:p>
    <w:p>
      <w:r>
        <w:t>A/1036/2020 - 7/11 - d'émolument de chancellerie, car elle est perçue en contrepartie d’activités simples et courantes de l’administration, essentiellement de secrétariat. Sa perception est soumise aux principes constitutionnels régissant toute activité étatique, en particulier aux principes de la légalité, de l’intérêt public et de la proportionnalité (art. 5 de la Constitution fédérale de la Confédération suisse du 18 avril 1999 - Cst. - RS 101), de l’égalité de traitement (art. 8 Cst.), de l’interdiction de l’arbitraire et de la bonne foi (art. 9 Cst.), ainsi que de la non- rétroactivité. Le principe de la légalité s'applique cependant de manière atténuée en matière de contributions causales, de façon encore plus marquée pour les émoluments de chancellerie, pour lesquels il suffit d'une base légale matérielle (Pierre MOOR / François BELLANGER / Thierry TANQUEREL, Droit administratif, vol. III, 2ème éd., 2018, p. 522 ss ; Thierry TANQUEREL, Manuel de droit administratif, 2ème éd., 2018, n. 239ss et 245 ss). La perception des taxes de sommation litigieuses trouve un fondement légal suffisant dans les art. 34a et 205 RAVS précités. La recourante ne le nie d'ailleurs pas. Elle ne conteste pas non plus, à raison, que leur perception répond à un intérêt public, ni qu'elle est en l'occurrence conforme aux autres principes susmentionnés, sous réserve de celui de la proportionnalité, voire de celui de l'interdiction de l'arbitraire. D'après elle, les frais de sommation ayant été mis à sa charge, totalisant CHF 1065.- pour les huit factures considérées, sont "discrétionnaires et abusifs".</w:t>
      </w:r>
    </w:p>
    <w:p>
      <w:r>
        <w:rPr>
          <w:b/>
        </w:rPr>
        <w:t>E. 5</w:t>
      </w:r>
    </w:p>
    <w:p>
      <w:r>
        <w:t>a. La proportionnalité de contributions publiques de nature causale dépendantes des coûts (à l'instar de l'émolument administratif considéré en l'espèce) se contrôle à l'aune des principes de la couverture des coûts et de l'équivalence (ATF 112 Ia 39 consid. 2 ; 104 Ia 113 consid. 3 ; 99 Ia 697 consid. 2 ; Thierry TANQUEREL, op. cit. n. 254 ss ; Jacques DUBEY / Jean-Baptiste ZUFFEREY, Droit administratif général, 2014, n. 1850 ss ; Xavier OBERSON, Droit fiscal suisse, 4ème éd., 2012, p. 56 s. ; Ulrich HÄFELIN / Georg MÜLLER / Felix UHLMANN, Allgemeines Verwaltungsrecht, 6ème éd., 2010, n. 2625a ss ; Adrian HUNGERBÜHLER, Grundsätze des Kausalabgabenrechts, ZBl 104/2003 p. 505 ss, p. 516). b. Selon le principe de la couverture des frais, le produit global des contributions causales ne doit pas dépasser, ou seulement de très peu, l’ensemble des coûts engendrés par la subdivision concernée de l’administration (ATF 135 I 130 consid. 2 ; 126 I 180 consid. 3a ; 106 Ia 249 consid. 3a ; 102 Ia 397 consid. 5b ; arrêts du Tribunal fédéral 2C_519/2013 du 3 septembre 2013 consid. 5.1 ; 2C_609/2010 du 18 juin 2011 consid. 3.2 ; Jacques DUBEY / Jean-Baptiste ZUFFEREY, op. cit., n. 1845 ; Xavier OBERSON, op. cit., p. 57 n. 81 ; Ulrich HÄFELIN / Georg MÜLLER / Felix UHLMANN, op. cit., n. 2637). Les dépenses à prendre en compte ne se limitent pas aux frais directs ou immédiats générés par l’activité administrative considérée. Elles englobent les frais généraux, en particulier ceux de port, de téléphone, les salaires du personnel, le loyer, ainsi que les intérêts et l'amortissement des capitaux investis et des équipements (ATF 120 Ia 171 consid. 2a ; arrêt du Tribunal fédéral 5A_55/2008 du 22 avril 2008 consid. 5.1).</w:t>
      </w:r>
    </w:p>
    <w:p>
      <w:r>
        <w:t>A/1036/2020 - 8/11 -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(ATF 101 Ib 462 consid. 3b).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(ATF 126 I 181 consid. 3a.aa = RDAF 2001 II 293, p. 300 ; Xavier OBERSON, op. cit., p. 57 n. 81).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(Pierre MOOR / François BELLANGER / Thierry TANQUEREL, op. cit. p. 532 ss ; Thierry TANQUEREL, op. cit., n. 256). c. Le principe d’équivalence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Cette valeur se mesure à l’utilité (pas nécessairement économique) qu’elle apporte à l’intéressé, ou d’après les dépenses occasionnées à l’administration par la prestation concrète en rapport avec le volume total des dépenses de la branche administrative en cause (ATF 135 I 130 consid. 2 ; 130 III 225 = RDAF 2005 I p. 747 ; 118 Ib 349 consid. 5 ; arrêt du Tribunal fédéral 2C_609/2010 précité consid. 3.2 ; Jacques DUBEY / Jean-Baptiste ZUFFEREY, op. cit., n. 1848 ; Ulrich HÄFELIN / Georg MÜLLER / Felix UHLMANN, op. cit., n. 2641 ; Adrian HUNGERBÜHLER, op. cit., p. 522 s.). Autrement dit, il faut que les contributions causales soient répercutées sur les contribuables proportionnellement à la valeur des prestations fournies ou des avantages économiques retirés (ATF 118 Ib 349 consid. 5 ; 109 Ib 308 consid. 5b ; 101 Ib 462 consid. 3b ; arrêt du Tribunal fédéral 2C_466/2008 du 10 juillet 2009 consid. 4.2.2 = RDAF 2010 II 401, p. 406 ; Pierre MOOR / François BELLANGER / Thierry TANQUEREL, op. cit., p. 535 ss ; Thierry TANQUEREL, op. cit., n. 255). Le principe d'équivalence n'exclut pas une certaine schématisation ou l’usage de moyennes d’expérience (arrêts du Tribunal fédéral 2C_519/2013 du 3 septembre 2013 consid. 5.1 ; 2P.117/2003 du 29 août 2003 consid. 4.3.1 = RDAF 2004 II 401, p. 403), voire des tarifs forfaitaires (ATF 126 I 181 consid. 3a.aa = RDAF 2001 II 293, p. 300 ; 106 Ia 241consid. 4 ; 103 Ia 230 consid. 4 ; Xavier OBERSON, op. cit., p. 57 n. 81 s.).</w:t>
      </w:r>
    </w:p>
    <w:p>
      <w:r>
        <w:rPr>
          <w:b/>
        </w:rPr>
        <w:t>E. 6</w:t>
      </w:r>
    </w:p>
    <w:p>
      <w:r>
        <w:t>a. En l'espèce, en référence aux critères dont notamment le principe précité de la couverture des coûts implique la prise en compte, force est de relever que l'intimée n'a guère fourni de données propres à justifier chacune des huit taxes de sommation</w:t>
      </w:r>
    </w:p>
    <w:p>
      <w:r>
        <w:t>A/1036/2020 - 9/11 - qu'elle a mises à la charge de la recourante (à titre de comparaison concernant les données à prendre en compte, cf. l'arrêt de la chambre constitutionnelle de la Cour de justice ACST/19/2015 du 15 octobre 2015 relatif à l'émolument prévu par l’art. 4 al. 3 du règlement fixant le tarif des frais en matière pénale du 22 décembre 2010 - RTFMP - E 4 10.03). Le dossier fournit toutefois des éléments justifiant de diminuer plusieurs des taxes de sommation contestées, de telle sorte qu'il apparaisse certain qu'elles ne soient pas contraires aux principe de la proportionnalité et de l'interdiction de l'arbitraire, sans même que toutes les données pertinentes ne soient connues avec précision. L'intimée n'en devrait pas moins s'intéresser à collecter ces données dans la perspective de fixer à l'avenir les taxes de sommation sur la base de critères moins empiriques. Quoi qu'il en soit, il peut être admis comme une certitude que l'établissement et l'envoi d'une sommation pour non-paiement, après un rappel, de cotisations personnelles met à contribution un ou des collaboratrices ou collaborateurs de l'intimée, dans les locaux de cette dernière, pour un temps sans doute relativement bref pour chaque sommation, et que cela se traduit par des frais non seulement directs mais aussi généraux (dont les salaires dudit personnel prorata temporis et le loyer desdits locaux au prorata de la surface utilisée pour la fourniture des prestations requises), frais qui ne seraient pas générés si les débiteurs des cotisations personnelles satisfaisaient à leur obligation de les payer en prenant à temps leurs dispositions à cette fin. Il appert qu'en incluant ces frais généraux, le coût global de la prestation considérée est systématiquement bien supérieur au minimum de CHF 20.- fixé par l'art. 34a al. 2 RAVS. Et comme le Tribunal fédéral des assurances l'a jugé dans son arrêt du 16 décembre 1996 cité dans la décision attaquée (VSI 1997 p. 156), "la taxe de sommation a aussi pour but de faire respecter la loi, dans la mesure où elle sanctionne un comportement incompatible avec celle-ci. La sommation ne vise pas seulement à attirer l'attention du débiteur sur le fait qu'il a du retard et sur les conséquences de celui-ci, mais aussi à l'inciter à se conformer à l'avenir aux dispositions légales". b. Comme le relève la recourante, c'est parce que l'intimée a d'abord refusé de l'affilier comme indépendante, puis, après que la chambre de céans eut annulé cette décision, a attendu près de dix-neuf mois avant de prononcer son affiliation comme indépendante que la recourante a reçu à moins d'un mois d'intervalle, en automne 2017, huit décisions de cotisations personnelles, totalisant CHF 20'510.-, pour les années 2010 à 1016 et les trois premiers trimestres de l'année 2017. Certes, le non-paiement de ces huit factures ne s'excuse pas – mais s'explique néanmoins à tout le moins en partie – par le fait que la recourante n'avait alors quasiment plus de revenus, vu la baisse du volume de ses activités. La recourante aurait sans doute dû mettre de côté, lorsqu'elle a réalisé des affaires, les sommes nécessaires au paiement des futures cotisations personnelles qu'elle aurait à verser lorsqu'elle aurait obtenu, de haute lutte, son affiliation.</w:t>
      </w:r>
    </w:p>
    <w:p>
      <w:r>
        <w:t>A/1036/2020 - 10/11 - Il faut en revanche retenir que l'intimée a traité l'établissement et l'envoi des huit sommations litigieuses en ne devant se pencher sur le dossier qu'à trois reprises, de plus de façon rapprochée dans le temps, soit le 26 octobre 2017 pour la facture de l'année 2016, le 7 novembre 2017 pour celle des trois premiers trimestres de l'année 2017, et le 20 novembre 2017 pour les six factures des années 2010 à 2015. Il doit en être résulté pour elle un gain de temps, et il s'en est aussi suivi que l'effet visé d'incitation de la recourante à se conformer à ses devoirs légaux ne pouvait se produire, dès lors qu'elle recevrait et a effectivement reçu ces huit sommations à quelques jours d'intervalle. En l'occurrence, le nombre relativement élevé de sommations considérées ne constitue pas un argument en faveur d'un accroissement des montants réclamés (cf. a contrario ATAS 618/2021 du 15 juin 2021 consid. 9c in fine). Il se justifie en revanche, au regard du schématisme admissible pour la fixation du montant d'émoluments administratifs, de moduler le montant des frais de sommation aussi en fonction du montant des factures impayées. c. Dans les limites de son pouvoir d'appréciation, la chambre de céans retient que les taxes de sommation pour les huit factures considérées doivent être les suivantes, et donc totaliser CHF 560.- : - CHF 50.- pour celle concernant l'année 2016 ; - CHF 40.- pour celle concernant les trois premiers trimestres de l'année 2017 ; - CHF 80.- pour celle concernant l'année 2010 ; - CHF 120.- pour celle concernant l'année 2011 ; - CHF 60.- pour celle concernant l'année 2012 ; - CHF 60.- pour celle concernant l'année 2013 ; - CHF 90.- pour celle concernant l'année 2014 ; - CHF 60.- pour celle concernant l'année 2015.</w:t>
      </w:r>
    </w:p>
    <w:p>
      <w:r>
        <w:rPr>
          <w:b/>
        </w:rPr>
        <w:t>E. 7</w:t>
      </w:r>
    </w:p>
    <w:p>
      <w:r>
        <w:t>a. La chambre de céans admettra donc partiellement le recours et réformera la décision attaquée dans le sens indiqué ci-dessus. b. La procédure est gratuite (art. 61 al. 1 let. a aLPGA ; cf. art. 61 al. 1 let. fbis LPGA). c. La recourante plaidant en personne et n'ayant pas fait état de frais particuliers et importants engagés pour la défense de ses intérêts, il n'y a pas lieu de lui allouer une indemnité de procédure, en dépit du fait qu'elle obtient partiellement gain de cause (art. 61 al. 1 let. g LPGA), ni d'ailleurs à l'intimée, dès lors qu'il s'agit d'une administration publique dotée d'un service juridique (Jean METRAL, in CR-LPGA, n. 98 et 100 ad art. 61 ; Stéphane GRODECKI / Romain JORDAN, Code annoté de procédure administrative genevoise, 2017, n. 1041). * * * * * *</w:t>
      </w:r>
    </w:p>
    <w:p>
      <w:r>
        <w:t>A/1036/2020 - 11/11 -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