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ATAS/894/2014 vom 12. August 2014</w:t>
      </w:r>
    </w:p>
    <w:p>
      <w:r>
        <w:t>GE Cour de justice, 2014-08-12, FR</w:t>
      </w:r>
    </w:p>
    <w:p>
      <w:r>
        <w:rPr>
          <w:b/>
        </w:rPr>
        <w:t xml:space="preserve">Quelle: </w:t>
      </w:r>
      <w:r>
        <w:t>https://mcp.opencaselaw.ch/entscheid/ge_gerichte_ATAS_894_2014</w:t>
      </w:r>
    </w:p>
    <w:p>
      <w:r>
        <w:t>FR: GE_GERICHTE ATAS/894/2014 du 12 août 2014</w:t>
      </w:r>
    </w:p>
    <w:p>
      <w:r>
        <w:t>IT: GE_GERICHTE ATAS/894/2014 del 12 agosto 2014</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sous réserve de dispositions spécifiques que la LAI contiendrait sur la procédure (art. 1 al. 1 LAI). 2.a. Le délai de recours est de 30 jours (art. 60 al. 1 LPGA). Lorsqu’une partie s’adresse en temps utile à un assureur incompétent, le délai est réputé observé (art. 39 al. 2 LPGA, par renvoi de l’art. 60 al. 2 LPGA).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Le juge saisi d’un recours ne doit pas se montrer strict lorsqu’il apprécie la forme et le contenu de l’acte de recours ; l’intéressé doit néanmoins manifester clairement et par écrit sa volonté d’en obtenir la modification ; à défaut, l’écriture qu’il produit ne peut être considérée comme une déclaration de recours (ATF 116 V 356 consid. 2b et les références ; arrêt du Tribunal fédéral des assurances I 501/02 consid. 2.2 du 28 janvier 2003). Il n’appartient par ailleurs pas à une autorité cantonale de recours de faire des recherches dans les pièces du dossier pour déterminer, notamment, quel est l’objet du litige et de quoi pourrait se plaindre l’intéressé (ATF 123 V 336 consid. 1a ; cf. arrêt du Tribunal fédéral des assurances U 292/02, consid. 4 du 17 décembre 2002). 2.b. En l’espèce, l’intimé considère le recours comme irrecevable, dans la mesure où il émanerait de la Dresse E______ et où le courrier du 3 avril 2014 ne serait qu’un renvoi à de précédents courriers. Le projet de décision a été rendu par l’intimé le 30 janvier 2014. La recourante l’a contesté le 28 février 2014, affirmant que son état de santé ne s'était pas amélioré</w:t>
      </w:r>
    </w:p>
    <w:p>
      <w:r>
        <w:t>A/1122/2014 - 11/21 - mais au contraire aggravé. Le 11 mars 2014, l’intimé a informé la recourante que la procédure d’audition était terminée et qu’une décision sujette à recours lui parviendrait prochainement. Le 26 mars 2014, la recourante a rappelé s’être opposée au projet de décision du 30 janvier 2014. Le même jour, l’intimé a rendu la décision querellée, ce qui a conduit la recourante à lui adresser un courrier le 3 avril 2014, dans lequel elle rappelait s’être opposée au projet de décision et demandait que ses précédents courriers soient pris en compte. Le 8 avril 2014, l’intimé a accusé réception de ce courrier et l’a transmis ultérieurement à la chambre de céans pour objet de sa compétence dans les jours qui ont suivi. Il ressort ce qui précède que le croisement du courrier de la recourante et de la décision du 26 mars 2014 a abouti à une situation confuse pour cette dernière, laquelle ne maîtrise légitimement pas les subtilités juridiques de la procédure en matière d’assurance-sociale. Cela étant, contrairement à ce que soutient l’intimé, la recourante a bel et bien interjeté recours en lui adressant son courrier du 3 avril 2014. En effet, non seulement ce courrier a été établi en réaction à la décision du 26 mars 2014, mais il a été transmis à la chambre de céans par l’intimé comme l’aurait été n’importe quel autre acte de recours lui ayant été adressé par erreur. Par ailleurs, bien que bref, ledit courrier manifeste clairement la volonté de la recourante de s’opposer à la décision querellée. La recourante a agi (et en l'occurrence réagi) immédiatement, donc largement dans les 30 jours à compter de la réception de la décision attaquée. 2.c. Au vu de ce qui précède, le recours doit donc être déclaré recevable (art. 56 à 61, 38 et 39 LPGA).</w:t>
      </w:r>
    </w:p>
    <w:p>
      <w:r>
        <w:rPr>
          <w:b/>
        </w:rPr>
        <w:t>E. 3</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ATF 112 V 360 consid. 4a; RAMA 1998 KV 37 p. 316 consid. 3b)]. Les faits pertinents dans la présente affaire se sont produits dès 2010. Depuis lors, la LAI a subi des modifications, à savoir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Cela étant, il sied de préciser que ces nouvelles dispositions n'ont pas amené de modifications substantielles sur les sujets pertinents dans la présente affaire, en particulier en matière d'évaluation de l'invalidité (arrêt du Tribunal fédéral des</w:t>
      </w:r>
    </w:p>
    <w:p>
      <w:r>
        <w:t>A/1122/2014 - 12/21 - assurances I 249/05 du 11 juillet 2006 consid. 2.1 et Message concernant la modification de la loi fédérale sur l'assurance-invalidité du 22 juin 2005, FF 2005 p. 4322). Le litige porte sur le droit de la recourante à une rente d'invalidité et/ou à des mesures de réadaptation professionnelle de l'assurance-invalidité.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(art. 7 al. 2 LPGA en vigueur dès le 1er janvier 2008). L’incapacité de gain se distingue de l’incapacité de travail, c’est-à-dire l’incapacité médicalement attestée de pratiquer une activité donnée dans des limites déterminées (directives CIIAI no 1022 ; cf. art. 6 LPGA). En raison de causes étrangères à l’invalidité, la capacité de gain d’un assuré peut être plus élevée que celle qui correspondrait à sa situation effective. Dans de telles situations, on peut néanmoins être en présence d’un cas d’invalidité (par ex. des circonstances économiques particulièrement favorables; des causes inhérentes à l’entreprise d’un indépendant, comme, par exemple, des collaborateurs exceptionnels qui compensent le handicap dû à l’invalidité de l’assuré par un engagement au-dessus de la moyenne; un engagement accru des membres de la famille; une situation financière très difficile qui oblige la personne à accepter un travail ou un rendement que l’on ne peut pas raisonnablement exiger d’elle (CIIAI no 1027).</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A/1122/2014 - 13/21 -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A/1122/2014 - 14/21 -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29ter RAI).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w:t>
      </w:r>
    </w:p>
    <w:p>
      <w:r>
        <w:t>A/1122/2014 - 15/21 - Les conséquences financières d’une réduction de la capacité de travail ne sont normalement pas déterminantes pour l’évaluation pendant le délai d’attente; celui- ci peut par exemple commencer à courir (ou déjà courir) alors que l’assuré fournit un travail supérieur à ce qui peut être raisonnablement exigé de lui (arrêt 8C_961/2010 du 9 mars 2011). On est en présence d’une interruption notable du délai d’attente lorsque l’assuré a exercé une activité à plein temps pendant au moins 30 jours consécutifs (art. 29ter RAI). L’interruption a pour conséquence que, lors de la survenance d’une nouvelle incapacité de travail, un nouveau délai d’attente d’une année commence à courir. Il n’est pas tenu compte de la reprise d’une activité dont le but serait purement thérapeutique, alors qu’il ne subsiste plus de réelle capacité de travail utilisable sur le marché (RCC 1969 p. 571). Il en va de même d’une reprise qui, selon les constatations médicales, mettrait manifestement à trop lourde contribution les forces de l’assuré (RCC 1964 p. 179, 1963 p. 226; CIIAI no 2012 à 2015).</w:t>
      </w:r>
    </w:p>
    <w:p>
      <w:r>
        <w:rPr>
          <w:b/>
        </w:rPr>
        <w:t>E. 7</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w:t>
      </w:r>
    </w:p>
    <w:p>
      <w:r>
        <w:t>A/1122/2014 - 16/21 -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w:t>
      </w:r>
    </w:p>
    <w:p>
      <w:r>
        <w:t>A/1122/2014 - 17/21 -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8</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Le juge cantonal qui estime que les faits ne sont pas suffisamment élucidés a en principe le choix entre deux solutions : soit renvoyer la cause à l'assureur pour complément d'instruction, soit procéder lui-même à une telle instruction</w:t>
      </w:r>
    </w:p>
    <w:p>
      <w:r>
        <w:t>A/1122/2014 - 18/21 -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11</w:t>
      </w:r>
    </w:p>
    <w:p>
      <w:r>
        <w:t>En l’espèce, il est établi que la recourante a travaillé à 28% dans le cadre de son dernier emploi, consacrant le reste de son temps aux activités ménagères. Il n’a pas été clairement défini s'il s'agissait d'un choix de la recourante ou de son employeur de l’époque. Il ne ressort en tout cas pas de la procédure que la recourante ait demandé sans succès à pouvoir augmenter son taux d'activité ou qu'elle ait limité son activité à 28% pour des motifs de santé. Le statut mixte à raison de 28% professionnel et 72% ménager semble donc acquis ; il n'est d'ailleurs pas contesté. Ensuite, il est établi par l’expertise de la CRR que l’incapacité de travail de la recourante a été totale d’avril 2010 à septembre 2013 et de 50% à partir d’octobre 2013, tant dans son activité habituelle (activité décrite comme peu exigeante physiquement) que dans une activité adaptée, sans diminution de rendement. Dans le cadre de cette expertise, les Drs I______, J______ et F______ se sont basés sur leur examen respectif de l’assurée, le dossier médical transmis par l’intimé et des documents d’imagerie fournis par la recourante. Ils ont retenu les diagnostics d’épisode dépressif moyen et de status post mastectomie et échec de plastie mammaire par greffon abdominal comme ayant une répercussion sur la capacité de travail. Compte tenu de ces éléments, ils ont estimé que les limitations fonctionnelles de la recourante consistaient en une fatigabilité, une réduction de la capacité de concentration et d’adaptation et une incapacité à des efforts physiques soutenus et à des travaux lourds, ce qui limitait sa capacité de travail à 50% à compter du mois d’octobre 2013 (incapacité totale du 1er avril 2010 au 30 septembre 2013).</w:t>
      </w:r>
    </w:p>
    <w:p>
      <w:r>
        <w:rPr>
          <w:b/>
        </w:rPr>
        <w:t>E. 12</w:t>
      </w:r>
    </w:p>
    <w:p>
      <w:r>
        <w:t>La chambre de céans constate que cette expertise est en tout point conforme aux réquisits jurisprudentiels relatifs à la valeur probante. Elle se fonde en effet sur un examen clinique de la recourante, sur l'étude de son dossier médical et sur des</w:t>
      </w:r>
    </w:p>
    <w:p>
      <w:r>
        <w:t>A/1122/2014 - 19/21 - documents d’imagerie médicale. Elle tient compte de ses plaintes et contient une anamnèse complète, des diagnostics clairs et des conclusions motivées. L'appréciation des Drs I______, J______ et F______ permet de comprendre la nature et les causes des limitations fonctionnelles de la recourante, ainsi que leurs conséquences sur sa capacité de travail dans son activité habituelle ainsi que dans une activité adaptée. Cela étant, l’expertise ne porte que sur la période allant jusqu’à la fin du mois d’octobre 2013. Or, dans ses avis des 28 avril et 22 mai 2014, la Dresse G______ du SMR a estimé qu’une aggravation postérieure à l’expertise du 5 novembre 2013 n’était pas exclue (à teneur du rapport, non remis en cause, du 14 avril 2014 de la Dresse E______, faisant état "d'un trouble anxio-dépressif qui s'aggrave et est actuellement sévère"), d’autant plus que la recourante avait arrêté son traitement antidépresseur en novembre 2013. De surcroît, la Dresse E______ a estimé qu’une réévaluation psychiatrique était indispensable pour déterminer la capacité de travail de la recourante. L'intimé a certes rendu sa décision le 26 mars 2014, avant que son SMR n'émette cette appréciation, les 28 avril et 22 mai 2014, sur la base d'un rapport du 14 avril 2014 de la Dresse e l'éventuelle aggravation de l'état de santé de la recourante apparaît s'être manifestée avant que l'intimé a rendu sa décision, et a fortiori avant que l'intimé a présenté sa réponse au recours, le 2 juin 2014. Or, alors qu'il en avait encore la compétence (art. 53 al. 3 LPGA), l’intimé n’a pas investigué plus en avant l’éventuelle aggravation de l’état de santé de la recourante dès le mois de novembre 2013, mais il a déclaré, dans sa réponse au recours, se référer aux avis de son SMR tout en concluant au rejet du recours et à la confirmation de la décision attaquée. Il appert, de l'avis même du SMR, que l’état de santé de la recourante, même à la date où l'intimé a rendu la décision attaquée, n’était pas et n'est toujours pas suffisamment élucidé pour permettre à la chambre de céans d’apprécier la situation en toute connaissance de cause. La situation n'est pas telle, en l'occurrence, que celle dans laquelle, à teneur de la jurisprudence du Tribunal fédéral (arrêt du Tribunal fédéral du 9 juillet 2014 dans la cause 9C_315/2014 consid. 3.4 ; ATF 137 V 210 consid. 4.4.1, par lequel le Tribunal fédéral, modifiant sa jurisprudence antérieure, a restreint le libre choix de l'autorité de recours de renvoyer le dossier à l'OAI pour instruction complémentaire), la chambre de céans devrait elle-même procéder à des actes d'instruction complémentaires ou mettre elle-même en œuvre une expertise. C'est à l'intimé qu'il incombe d'ordonner une instruction complémentaire afin de déterminer si l’état de santé de la recourante, notamment psychique, s’est détérioré depuis la réalisation de l’expertise de la CRR. Il appartiendra ensuite à l’intimé de rendre une nouvelle décision portant sur le degré d’invalidité de la recourante, et, le cas échéant, sur la détermination des activités adaptées à ses limitations fonctionnelles et sur l’éventuelle opportunité de mettre en œuvre des mesures d'ordre professionnel.</w:t>
      </w:r>
    </w:p>
    <w:p>
      <w:r>
        <w:t>A/1122/2014 - 20/21 -</w:t>
      </w:r>
    </w:p>
    <w:p>
      <w:r>
        <w:rPr>
          <w:b/>
        </w:rPr>
        <w:t>E. 13</w:t>
      </w:r>
    </w:p>
    <w:p>
      <w:r>
        <w:t>Au vu de ce qui précède, le recours sera admis au sens des considérants et la décision du 26 mars 2014 sera annulée, la cause étant renvoyée à l’intimé pour instruction médicale complémentaire.</w:t>
      </w:r>
    </w:p>
    <w:p>
      <w:r>
        <w:rPr>
          <w:b/>
        </w:rPr>
        <w:t>E. 14</w:t>
      </w:r>
    </w:p>
    <w:p>
      <w:r>
        <w:t>Si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Cependant, compte tenu des motifs pour lesquels la décision attaquée est annulée et la cause renvoyée à l'office intimé, la chambre de céans ne mettra pas de frais de justice à la charge des parties, en particulier de l'office intimé. Les frais seront ainsi laissés à la charge de l'Etat.</w:t>
      </w:r>
    </w:p>
    <w:p>
      <w:r>
        <w:t>A/1122/2014 - 21/21 -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