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ATAS/893/2024 vom 18. November 2024</w:t>
      </w:r>
    </w:p>
    <w:p>
      <w:r>
        <w:t>GE Cour de justice, 2024-11-18, FR</w:t>
      </w:r>
    </w:p>
    <w:p>
      <w:r>
        <w:rPr>
          <w:b/>
        </w:rPr>
        <w:t xml:space="preserve">Quelle: </w:t>
      </w:r>
      <w:r>
        <w:t>https://mcp.opencaselaw.ch/entscheid/ge_gerichte_ATAS_893_2024</w:t>
      </w:r>
    </w:p>
    <w:p>
      <w:r>
        <w:t>FR: GE_GERICHTE ATAS/893/2024 du 18 novembre 2024</w:t>
      </w:r>
    </w:p>
    <w:p>
      <w:r>
        <w:t>IT: GE_GERICHTE ATAS/893/2024 del 18 novembre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Lorsqu’une rente a été refusée parce que le degré d’invalidité était insuffisant, une nouvelle demande ne peut être examinée que si la personne assurée rend plausible que son invalidité s’est modifiée de manière à influencer ses droits (art. 87 al. 2 RAI). Cette exigence est présentement réalisée et non contestée.</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t>A/2716/2022 - 37/39 -</w:t>
      </w:r>
    </w:p>
    <w:p>
      <w:r>
        <w:rPr>
          <w:b/>
        </w:rPr>
        <w:t>E. 6.3</w:t>
      </w:r>
    </w:p>
    <w:p>
      <w:r>
        <w:t>La personne expertisée est-elle capable d’exercer une activité lucrative adaptée à ses limitations fonctionnelles ?</w:t>
      </w:r>
    </w:p>
    <w:p>
      <w:r>
        <w:rPr>
          <w:b/>
        </w:rPr>
        <w:t>E. 6.3.1</w:t>
      </w:r>
    </w:p>
    <w:p>
      <w:r>
        <w:t>Si non, ou seulement partiellement, pourquoi ? Quelles sont les limitations fonctionnelles qui entrent en ligne de compte ?</w:t>
      </w:r>
    </w:p>
    <w:p>
      <w:r>
        <w:rPr>
          <w:b/>
        </w:rPr>
        <w:t>E. 6.3.2</w:t>
      </w:r>
    </w:p>
    <w:p>
      <w:r>
        <w:t>Si oui, quel est le domaine d’activité lucrative adapté ? À quel taux ? Depuis quelle date ?</w:t>
      </w:r>
    </w:p>
    <w:p>
      <w:r>
        <w:rPr>
          <w:b/>
        </w:rPr>
        <w:t>E. 6.3.3</w:t>
      </w:r>
    </w:p>
    <w:p>
      <w:r>
        <w:t>Dire s’il y a une diminution de rendement et la chiffrer.</w:t>
      </w:r>
    </w:p>
    <w:p>
      <w:r>
        <w:rPr>
          <w:b/>
        </w:rPr>
        <w:t>E. 6.4</w:t>
      </w:r>
    </w:p>
    <w:p>
      <w:r>
        <w:t>Comment la capacité de travail de la personne expertisée a-t-elle évolué depuis 2018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w:t>
      </w:r>
    </w:p>
    <w:p>
      <w:r>
        <w:t>A/2716/2022 - 22/39 -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En cas de prise de traitement médicamenteux, soit antalgique, soit psychotrope, pouvez-vous vérifier la compliance ou la biodisponibilité à l’aide d’un dosage sanguin ?</w:t>
      </w:r>
    </w:p>
    <w:p>
      <w:r>
        <w:rPr>
          <w:b/>
        </w:rPr>
        <w:t>E. 7.4</w:t>
      </w:r>
    </w:p>
    <w:p>
      <w:r>
        <w:t>En cas de nécessité de prise de traitement médicamenteux, ces traitements induisent-ils des limitations fonctionnelles et/ou ont-ils une répercussion sur la capacité de travail ?</w:t>
      </w:r>
    </w:p>
    <w:p>
      <w:r>
        <w:rPr>
          <w:b/>
        </w:rPr>
        <w:t>E. 7.5</w:t>
      </w:r>
    </w:p>
    <w:p>
      <w:r>
        <w:t>Propositions thérapeutiques et analyse de leurs effets sur la capacité de travail de la personne expertisée. 8. Personnalité</w:t>
      </w:r>
    </w:p>
    <w:p>
      <w:r>
        <w:rPr>
          <w:b/>
        </w:rPr>
        <w:t>E. 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8.1</w:t>
      </w:r>
    </w:p>
    <w:p>
      <w:r>
        <w:t>Est-ce que la personne expertisée présente un trouble de la personnalité selon les critères diagnostiques des ouvrages de référence et si oui, lequel ? Quel code ?</w:t>
      </w:r>
    </w:p>
    <w:p>
      <w:r>
        <w:rPr>
          <w:b/>
        </w:rPr>
        <w:t>E. 8.2</w:t>
      </w:r>
    </w:p>
    <w:p>
      <w:r>
        <w:t>Est-ce que la personne expertisée présente des traits de la personnalité pathologiques et, si oui, lesquels ?</w:t>
      </w:r>
    </w:p>
    <w:p>
      <w:r>
        <w:rPr>
          <w:b/>
        </w:rPr>
        <w:t>E. 8.3</w:t>
      </w:r>
    </w:p>
    <w:p>
      <w:r>
        <w:t>Le cas échéant, quelle est l’influence de ce trouble de la personnalité ou de ces traits de personnalité pathologiques sur les limitations éventuelles et sur l’évolution des troubles de la personne expertisée ?</w:t>
      </w:r>
    </w:p>
    <w:p>
      <w:r>
        <w:t>A/2716/2022 - 38/39 -</w:t>
      </w:r>
    </w:p>
    <w:p>
      <w:r>
        <w:rPr>
          <w:b/>
        </w:rPr>
        <w:t>E. 8.4</w:t>
      </w:r>
    </w:p>
    <w:p>
      <w:r>
        <w:t>La personne expertisée se montre-t-elle authentique ou y a-t-il des signes d’exagération des symptômes ou de simulation ? 9. Ressources</w:t>
      </w:r>
    </w:p>
    <w:p>
      <w:r>
        <w:rPr>
          <w:b/>
        </w:rPr>
        <w:t>E. 9.1</w:t>
      </w:r>
    </w:p>
    <w:p>
      <w:r>
        <w:t>Quelles sont les ressources résiduelles de la personne expertisée sur le plan somatique ?</w:t>
      </w:r>
    </w:p>
    <w:p>
      <w:r>
        <w:rPr>
          <w:b/>
        </w:rPr>
        <w:t>E. 9.2</w:t>
      </w:r>
    </w:p>
    <w:p>
      <w:r>
        <w:t>Quelles sont les ressources résiduelles de la personne expertisée sur les plans :</w:t>
      </w:r>
    </w:p>
    <w:p>
      <w:r>
        <w:t>a) psychique</w:t>
      </w:r>
    </w:p>
    <w:p>
      <w:r>
        <w:t>b) mental</w:t>
      </w:r>
    </w:p>
    <w:p>
      <w:r>
        <w:t>c) social et familial. En particulier, la personne expertisée peut-elle compter sur le soutien de ses proches ? 10. Appréciation d’avis médicaux du dossier 10.1 Êtes-vous d’accord avec les avis médicaux du Dr Q______, spécialiste en psychiatrie et psychothérapie, des 12 juillet 2019, 17 juillet 2020,</w:t>
      </w:r>
    </w:p>
    <w:p>
      <w:r>
        <w:rPr>
          <w:b/>
        </w:rPr>
        <w:t>E. 9.3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w:t>
      </w:r>
    </w:p>
    <w:p>
      <w:r>
        <w:rPr>
          <w:b/>
        </w:rPr>
        <w:t>E. 12</w:t>
      </w:r>
    </w:p>
    <w:p>
      <w:r>
        <w:t>juillet 2019 consid. 4.3 et la référence et 9C_724/2018 du 11 juillet 2019 consid. 7). En l’absence d’un diagnostic psychiatrique, une telle appréciation n’a</w:t>
      </w:r>
    </w:p>
    <w:p>
      <w:r>
        <w:t>A/2716/2022 - 24/39 - pas non plus à être effectuée (arrêt du Tribunal fédéral 9C_176/2018 du 16 août 2018 consid. 3.2.2). 10.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9C_212/2020 du 4 septembre 2020 consid. 4.2; 9C_762/2019 du 16 juin 2020 consid. 5.2). 2. Succès du traitement et de la réadaptation ou résistance à ces derniers</w:t>
      </w:r>
    </w:p>
    <w:p>
      <w:r>
        <w:t>A/2716/2022 - 25/39 -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A/2716/2022 - 26/39 -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w:t>
      </w:r>
    </w:p>
    <w:p>
      <w:r>
        <w:t>A/2716/2022 - 27/39 -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t>A/2716/2022 - 28/39 - 11.</w:t>
      </w:r>
    </w:p>
    <w:p>
      <w:r>
        <w:t>11.1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11.2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w:t>
      </w:r>
    </w:p>
    <w:p>
      <w:r>
        <w:t>A/2716/2022 - 29/39 - que ce soit l’administration ou le juge. À défaut, il se justifie, juridiquement, de s'en écarter (ATF 145 V 361 consid. 4.3 et la référence). 11.3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12.1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t>A/2716/2022 - 30/39 - 3.2 et les références;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12.2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A/2716/2022 - 31/39 - fiabilité ou à la pertinence des constatations effectuées par le SMR (ATF 142 V 58 consid. 5 ; ATF 135 V 465 consid. 4.4 et 4.6 ; arrêt du Tribunal fédéral 9C_371/2018 du 16 août 2018 consid. 4.3.1).</w:t>
      </w:r>
    </w:p>
    <w:p>
      <w:r>
        <w:rPr>
          <w:b/>
        </w:rPr>
        <w:t>E. 12.4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w:t>
      </w:r>
    </w:p>
    <w:p>
      <w:r>
        <w:t>A/2716/2022 - 32/39 -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15.1</w:t>
      </w:r>
    </w:p>
    <w:p>
      <w:r>
        <w:t>En l’espèce, l’intimé s’est fondé sur l’expertise pluridisciplinaire réalisée par le S______ pour rendre sa décision litigieuse, par laquelle il a refusé tout droit aux prestations au recourant, considérant qu’il était pleinement capable de travailler dans une activité adaptée, l’ancienne activité de chauffeur poids-lourds de matières dangereuses ayant été définitivement écartée par le SMR.</w:t>
      </w:r>
    </w:p>
    <w:p>
      <w:r>
        <w:rPr>
          <w:b/>
        </w:rPr>
        <w:t>E. 15.2</w:t>
      </w:r>
    </w:p>
    <w:p>
      <w:r>
        <w:t>L’expertise, d’un point de vue somatique, a été rendue alors que l’état de santé du recourant n’était pas stabilisé, comme l’a fait remarquer la Dre R______ en audience. En effet, une intervention chirurgicale importante au niveau cervical a été décidée en juin 2022, ce qui avait été communiqué à l’intimé, avant même que celui-ci ne rende sa décision litigieuse. Dite intervention avait permis, de l’avis de la neurochirurgienne traitante, d’amender une partie de la symptomatologie douloureuse et d’améliorer l’incontinence. L’atteinte médullaire, mentionnée comme évolution possible dès 2011, et niée par les experts en l’absence de signal, semble dès lors hautement vraisemblable, bien que ne pouvant être constatée (cf. audition de la Dre R______). Certes, l’intervention chirurgicale a eu lieu après que la décision de l’intime a été rendue, mais dans la mesure où elle avait été décidée avant, et qu’elle a rendu hautement vraisemblable l’existence d’une pathologie niée par les experts en améliorant une partie des symptômes, elle doit être prise en considération. Les conclusions de l’expertise du S______ étant basées sur un postulat erroné, elles ne peuvent être suivies et une expertise judiciaire se justifie s’agissant de l’évaluation des troubles de la colonne vertébrale.</w:t>
      </w:r>
    </w:p>
    <w:p>
      <w:r>
        <w:rPr>
          <w:b/>
        </w:rPr>
        <w:t>E. 15.3</w:t>
      </w:r>
    </w:p>
    <w:p>
      <w:r>
        <w:t>S’agissant du volet psychiatrique, il y a lieu de tenir compte d’une probable incompréhension entre l’expert et le recourant au sujet de l’existence de symptômes de nature dépressive. Le recourant a expliqué de manière convaincante à la chambre de céans pour quelle raison il avait déclaré ne pas s’être senti déprimé plus de trois semaines d’affilée depuis 2009, ce qui ne correspondait pas à la réalité, ni surtout aux constatations de son psychiatre traitant. Le Dr Q______ avait également expliqué avoir lui-même remarqué l’effet bénéfique du traitement antidépresseur sur la symptomatologie, ce qui lui faisait douter d’un défaut de compliance, en tous les cas sur le long terme. En outre, il fallait aussi prendre en compte que la médicamentation psychotrope devait parfois être diminuée ou arrêtée en raison des interactions avec les pathologies somatiques. Ce dernier considérait que l’expert n’avait pas pris suffisamment en considération le trouble de la personnalité de son patient, qui le conduisait parfois</w:t>
      </w:r>
    </w:p>
    <w:p>
      <w:r>
        <w:t>A/2716/2022 - 33/39 - à des crises dissociatives, pouvant conduire à des pertes de connaissance ou à des crises violentes. Celles-ci avaient été bien documentées en 2009-2010, car elles étaient intervenues en milieu hospitalier, ce qui n’avait plus été le cas les années suivantes. Et elles étaient parfois difficiles à distinguer de chutes liées aux douleurs ou à l’hypotension, mais elles persistaient. Enfin, les activités quotidiennes du recourant étaient très limitées, celui-ci manquant de motivation pour les entreprendre. Il vivait reclus sur sa famille et avait en outre développé un trouble lié à la consommation d’alcool non pris en considération par l’expert. Le psychiatre traitant s’est également plaint du fait que l’expert n’avait pas pris la peine de le contacter pour obtenir des informations complémentaires. Sur la base des explications claires fournies par le psychiatre traitant, ainsi que de ses constatations cliniques, il apparaît que le volet psychiatrique de l’expertise doive également être remis en question, car des éléments pertinents et vérifiables ont été ignorés. Les faits retenus par l’expert psychiatre semblent même ne pas correspondre à la réalité, en particulier s’agissant des activités quotidiennes du recourant et de sa compliance au traitement. Par ailleurs, il semblerait que l’éventualité d’un trouble de la personnalité n'ait pas été suffisamment investiguée. En tous les cas, l’expert n’écarte pas de façon circonstanciée pour quel motif un tel trouble n’est pas retenu. Quant à un trouble addictologique, apparu de manière concomitante à la décision entreprise, il n’en est pas fait mention non plus. Partant, les conclusions de l’expert psychiatre n’emportent pas conviction et il apparaît également nécessaire d’éclaircir la situation médicale sous cet angle.</w:t>
      </w:r>
    </w:p>
    <w:p>
      <w:r>
        <w:rPr>
          <w:b/>
        </w:rPr>
        <w:t>E. 15.4</w:t>
      </w:r>
    </w:p>
    <w:p>
      <w:r>
        <w:t>Au vu de ce qui précède, il est nécessaire de procéder à la réalisation d’une expertise judiciaire bidisciplinaire en orthopédie et en psychiatrie, afin de déterminer la nature des troubles du recourant, leur éventuel caractère invalidant, cas échéant depuis quand et à quel degré. Le Pr AB______ étant spécialisé dans la chirurgie du rachis cervical, nul n’est besoin d’avoir recours à un neurochirurgien pour la réalisation de l’expertise. Quant à l’examen neuropsychologique que la chambre de céans souhaite voir effectué, dans la mesure où un tel examen relève du domaine de la psychiatrie, la désignation d’un neurologue ne paraît pas indispensable non plus. La nomination de deux experts permettra de discuter consensuellement le cas et d’établir les influences réciproques éventuelles des troubles somatiques sur les troubles psychiques et inversement. Enfin, il appartiendra aux experts mandatés de se prononcer sur la nécessité de compléter leur évaluation par une expertise relevant d’une autre spécialité médicale. S’agissant des précisions aux questions 4.7 et 11.2 sollicitées par le recourant, elles ne sont pas utiles, car déjà englobées implicitement dans la formulation. Il en va de même de la première partie de la question 11.3 que le recourant souhaite</w:t>
      </w:r>
    </w:p>
    <w:p>
      <w:r>
        <w:t>A/2716/2022 - 34/39 - voir ajoutée. Quant à demande relative à la question 7.4, l’ancienne activité de chauffeur poids-lourds pour matières dangereuses ayant été définitivement déclarée non adaptée par le SMR, elle s’avère superflue. En revanche, et quand bien même l’examen du Dr Y______ a trait à des faits largement postérieurs à la décision entreprise, une question sera ajoutée, dans le sens requis par le recourant.</w:t>
      </w:r>
    </w:p>
    <w:p>
      <w:r>
        <w:t>***</w:t>
      </w:r>
    </w:p>
    <w:p>
      <w:r>
        <w:t>A/2716/2022 - 35/39 - PAR CES MOTIFS, LA CHAMBRE DES ASSURANCES SOCIALES : Statuant préparatoirement</w:t>
      </w:r>
    </w:p>
    <w:p>
      <w:r>
        <w:t>A. Ordonne une expertise médicale orthopédique et psychiatrique de Monsieur A______. La confie aux Professeurs AB______ et AC______. B. Dit que la mission d’expertise sera la suivante : I. Prendre connaissance du dossier de la cause. II. Prendre tous renseignements auprès des médecins ayant traité la personne expertisée, voire auprès des membres de sa famille. III. Examiner et entendre la personne expertisée et ordonner tout autre examen utile, en particulier un examen neuropsychologique. IV. Établir un rapport détaillé comprenant les éléments suivants : 1. Anamnèse détaillée (y compris description d’une journée-type) 2. Plaintes de la personne expertisée 3. Status clinique et constatations objectives 4. Diagnostics (selon un système de classification reconnu) Préciser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w:t>
      </w:r>
    </w:p>
    <w:p>
      <w:r>
        <w:t>A/2716/2022 - 36/39 - l’expert, allégation de lourds handicaps malgré un environnement psychosocial intact). 4.6 Dans l’affirmative, considérez-vous que cela suffise à exclure une atteinte à la santé significative ? 4.7 L’état de santé de la personne expertisée s’est-il amélioré/détérioré depuis 2018 ? Dans l’affirmative, à quel(s) moment(s) et de quelle manière ? 4.8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4.9 Est-ce que le tableau clinique est cohérent, compte tenu du ou des diagnostic(s) retenu(s) ou y a-t-il des atypies ? En présence d’atypies, celles-ci s’expliquent-elles d’un point de vue médical ? 4.10 Est-ce que ce qui est connu de l’évolution chez la personne expertisée correspond à ce qui est attendu pour le ou les diagnostic(s) retenu(s) ? 4.11 Quels sont les niveaux d’activités sociales et d’activités de la vie quotidienne et comment ont-ils évolué depuis la survenance de l’atteinte à la santé ? 4.12 Dans l’ensemble, le comportement de la personne expertisée vous semble-t-il cohérent et pourquoi ? 5. Limitations fonctionnelles 5.1 Indiquer les limitations fonctionnelles en relation avec chaque diagnostic. 5.1.1 Dates d’apparition. 5.2 Les plaintes sont-elles objectivées ? 6. Capacité de travail</w:t>
      </w:r>
    </w:p>
    <w:p>
      <w:r>
        <w:rPr>
          <w:b/>
        </w:rPr>
        <w:t>E. 19</w:t>
      </w:r>
    </w:p>
    <w:p>
      <w:r>
        <w:t>septembre 2022, 24 novembre 2022 et 17 avril 2024 (audience) ? Si non, pourquoi ? 10.2 Êtes-vous d’accord avec les conclusions de l’expertise pluridisciplinaire du S______, du 26 février 2021 ? Si non, pourquoi ? 10.3 Faire tout commentaire utile s’agissant du rapport d’électroneuro myographie du Dr Y______ du 2 mai 2024. 11. Quel est le pronostic de manière générale ? 12. Des mesures de réadaptation professionnelle sont-elles, à votre avis, envisageables ? 13. Faire toutes autres observations ou suggestions utiles, y compris indiquer la nécessité éventuelle de compléter l’expertise dans un autre domaine. C. Invite les experts à procéder à une appréciation consensuelle du cas : Les limitations fonctionnelles somatiques et psychiatriques s’influencent-elles réciproquement, et, si oui, de quelle façon ? Compte tenu des limitations fonctionnelles somatiques et psychiques, la personne expertisée dispose-t-elle globalement d’une capacité de travail ? Si oui à quel taux et depuis quelle date ? Si non ou dans une mesure restreinte, quelles sont les limitations fonctionnelles qui entrent en ligne de compte ? D. Invite les experts à déposer à leur meilleure convenance un rapport en trois exemplaires auprès de la chambre de céans.</w:t>
      </w:r>
    </w:p>
    <w:p>
      <w:r>
        <w:t>A/2716/2022 - 39/39 - E. Réserve le sort des frais jusqu’à droit jugé au fond.</w:t>
      </w:r>
    </w:p>
    <w:p>
      <w:r>
        <w:t>La greffière</w:t>
      </w:r>
    </w:p>
    <w:p>
      <w:r>
        <w:t>Pascale HUGI</w:t>
      </w:r>
    </w:p>
    <w:p>
      <w:r>
        <w:t>La présidente</w:t>
      </w:r>
    </w:p>
    <w:p>
      <w:r>
        <w:t>Laurence PIQUEREZ</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