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ATAS/893/2019 vom 1. Oktober 2019</w:t>
      </w:r>
    </w:p>
    <w:p>
      <w:r>
        <w:t>GE Cour de justice, 2019-10-01, FR</w:t>
      </w:r>
    </w:p>
    <w:p>
      <w:r>
        <w:rPr>
          <w:b/>
        </w:rPr>
        <w:t xml:space="preserve">Quelle: </w:t>
      </w:r>
      <w:r>
        <w:t>https://mcp.opencaselaw.ch/entscheid/ge_gerichte_ATAS_893_2019</w:t>
      </w:r>
    </w:p>
    <w:p>
      <w:r>
        <w:t>FR: GE_GERICHTE ATAS/893/2019 du 1 octobre 2019</w:t>
      </w:r>
    </w:p>
    <w:p>
      <w:r>
        <w:t>IT: GE_GERICHTE ATAS/893/2019 del 1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dans les forme et délai prévus par la loi, est recevable (art. 56 à 60 LPGA). En particulier, malgré leur libellé, on interprétera les conclusions du recourant relatives à la reconnaissance de son droit aux prestations comme tendant à la condamnation de l’intimée au versement de ces dernières. Elles sont ainsi recevables, contrairement à des conclusions constatatoires dont le caractère est subsidiaire par rapport à une action formatrice (ATF 129 V 289 consid. 2.1 ; arrêt du Tribunal fédéral des assurances B 149/06 du 11 juin 2007 consid. 5.2).</w:t>
      </w:r>
    </w:p>
    <w:p>
      <w:r>
        <w:rPr>
          <w:b/>
        </w:rPr>
        <w:t>E. 3</w:t>
      </w:r>
    </w:p>
    <w:p>
      <w:r>
        <w:t>Le litige porte sur le droit aux prestations en cas d’accident du recourant, en particulier sur le point de savoir si son état de santé était stabilisé au 30 juin 2018.</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avec l'événement assuré (ATF 119 V 335 consid. 1).</w:t>
      </w:r>
    </w:p>
    <w:p>
      <w:r>
        <w:rPr>
          <w:b/>
        </w:rPr>
        <w:t>E. 5</w:t>
      </w:r>
    </w:p>
    <w:p>
      <w:r>
        <w:t>Les prestations suivantes sont prévues en cas d’accident.</w:t>
      </w:r>
    </w:p>
    <w:p>
      <w:r>
        <w:t>A/4391/2018 - 17/27 - a. En vertu de l’art. 10 al. 1 LAA, l'assuré a droit au traitement médical approprié des lésions résultant de l'accident. b.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c.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(OLAA - RS 832.202)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w:t>
      </w:r>
    </w:p>
    <w:p>
      <w:r>
        <w:t>A/4391/2018 - 18/27 -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L'annexe 3 à l'ordonnance comporte un barème des lésions fréquentes et caractéristiques, évaluées en pour cent, dont le Tribunal fédéral a reconnu la conformité à la loi (ATF 124 V 29 consid. 1b). L'indemnité allouée pour les atteintes à l'intégrité désignées à l'annexe 3 à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SUVA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 arrêt du Tribunal fédéral 8C_459/2008 du 4 février 2009 consid. 2.1.2). L'évaluation incombe avant tout aux médecins, qui doivent d'une part constater objectivement quelles limitations subit l'assuré et d'autre part estimer l'atteinte à l'intégrité en résultant (arrêt du Tribunal fédéral 8C_703/2008 du 25 septembre 2009, consid. 5.1).</w:t>
      </w:r>
    </w:p>
    <w:p>
      <w:r>
        <w:rPr>
          <w:b/>
        </w:rPr>
        <w:t>E. 6</w:t>
      </w:r>
    </w:p>
    <w:p>
      <w:r>
        <w:t>a. Afin de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w:t>
      </w:r>
    </w:p>
    <w:p>
      <w:r>
        <w:t>A/4391/2018 - 19/27 -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w:t>
      </w:r>
    </w:p>
    <w:p>
      <w:r>
        <w:t>A/4391/2018 - 20/27 -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 admissible (ATF 129 V 472 consid. 4.2.3).</w:t>
      </w:r>
    </w:p>
    <w:p>
      <w:r>
        <w:rPr>
          <w:b/>
        </w:rPr>
        <w:t>E. 8</w:t>
      </w:r>
    </w:p>
    <w:p>
      <w:r>
        <w:t>Il convient en premier lieu de déterminer si c’est à juste titre que l’intimée a considéré que l’état de santé du recourant était stabilisé au 30 juin 2018, soit qu’il n’y avait plus lieu d’espérer à cette date que la poursuite du traitement médical permettrait une amélioration sensible de son état. a.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La pratique n’a jusqu’ici pas tracé de limite stricte sur ce point. Par analogie avec la valeur</w:t>
      </w:r>
    </w:p>
    <w:p>
      <w:r>
        <w:t>A/4391/2018 - 21/27 - minimale de 5 % souvent appliquée en droit des assurances sociales pour déterminer ce qui revêt une importance notable (Erheblichkeitsgrenze) (par exemple en matière de révision du taux de la rente, cf. ATF 140 V 85 consid. 4), un pronostic d’amélioration de la capacité de travail de 5 % dans l’activité habituelle ou une activité de remplacement peut être considéré comme sensible (Kaspar GEHRING, in Kommentar KVG/UVG, Ueli KIESER / GEHRING / Susanne BOLLINGER [éd.], Zurich 2018, n. 27 ad art. 10 LAA).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1er avril 2019 consid. 5.3). Il faut encore préciser que la stabilisation de l’état de santé doit être estimée de manière pronostique, et non à l’aune de constatations rétrospectives (RAMA 3/2005 n° U 557 p. 389 consid. 3.1 ; arrêt du Tribunal fédéral 8C_849/2011 du 29 mai 2012 consid. 3.2). Par ailleurs, de jurisprudence constante, le juge des assurances sociales apprécie la légalité des décisions attaquées, en règle générale, d'après l'état de fait existant au moment où la décision litigieuse a été rendue (arrêt du Tribunal fédéral 8C_589/2018 du 4 juillet 2019 consid. 4.2). b. En l’espèce, force est de constater qu’au 30 juin 2018, aucun traitement médical permettant d’escompter une amélioration significative de l’état de santé du recourant n’était plus discuté, étant rappelé que ce dernier n’envisageait alors pas de se soumettre à l’arthrodèse évoquée. Les médecins de la CRR n’avaient en effet formulé aucune proposition thérapeutique, pas plus que le Dr I_______. Le recourant ne peut rien tirer du fait que ce chirurgien ait qualifié son état de non stabilisé au 25 avril 2018. En effet, il n’est pas contesté que tel n’était pas encore le cas à cette date. Dans son rapport du 3 juillet 2018, ce chirurgien ne semblait en outre pas considérer l’arthrodèse comme une indication claire à court terme, dès lors qu’il mentionnait que cette intervention serait « probablement nécessaire », compte tenu de la suspicion d’arthrose. Le fait que le recourant ait déclaré à la Dresse L_______, postérieurement à la décision litigieuse, qu’il pouvait désormais envisager une telle opération ne suffit pas non plus à conclure à un état non stabilisé. En effet, les médecins des HUG n’affirment pas que cette intervention</w:t>
      </w:r>
    </w:p>
    <w:p>
      <w:r>
        <w:t>A/4391/2018 - 22/27 - serait de nature à améliorer de manière sensible l’état du recourant. Du reste, contrairement à ce que le recourant affirme, l’arthrodèse n’était pas une option thérapeutique nouvellement apparue en avril 2018, puisqu’elle avait déjà été rapportée en décembre 2017 par le recourant lors d’un entretien avec l’intimée. Il ne s’agit ainsi pas d’un élément nouveau qui démontrerait que son état n’était pas stabilisé. Quant aux douleurs qui subsistaient après le 30 juin 2018, elles paraissaient s’inscrire alors dans un tableau chronique. Leur persistance ne démontre ainsi pas que l’état de santé était en cours d’évolution, conformément à la jurisprudence. La poursuite de la physiothérapie et la prise en charge du TENS ne permettaient pas non plus d’escompter une amélioration notable de l’état de santé du recourant, puisque leurs visées étaient antalgiques. Les consultations encore programmées au service de chirurgie orthopédique des HUG ne peuvent pas non plus être assimilées à un traitement médical susceptible d’améliorer l’état de santé du recourant, pas plus que la possibilité d’une neuropathie ou d’un névrome, évoquée en décembre 2018, dès lors qu’aucun de ces diagnostics ne paraît avoir été confirmé. Enfin, le rapport de scintigraphie du 20 août 2018 relève des éléments superposables à celle qui a été réalisée en 2017, ce qui tend à confirmer l’absence d’évolution de l’état du recourant. Compte tenu de ce qui précède, il n’existe aucun rapport médical justifiant que l’on s’écarte de la date de la stabilisation de l’état de santé fixée au 30 juin 2018 – date du reste corroborée par le pronostic temporel articulé par les Drs L_______ et J_______ dans leur rapport du 21 mars 2018. Conformément à la jurisprudence précitée, qui exclut l’analyse rétrospective de la stabilisation de l’état de santé, l’arthroscopie finalement pratiquée par le Dr N_______ en juin 2019 ne permet pas non plus de revenir sur ce point – et ce même si le pronostic favorable de ce chirurgien devait se vérifier. Il convient cependant de préciser que la confirmation de la stabilisation de l’état de santé du recourant n’exclut a priori pas que l’intimée assume l’intervention réalisée par le Dr N_______, l’art. 21 LAA prévoyant la prise en charge de prestations pour soins après la fixation de la rente à certaines conditions.</w:t>
      </w:r>
    </w:p>
    <w:p>
      <w:r>
        <w:rPr>
          <w:b/>
        </w:rPr>
        <w:t>E. 9</w:t>
      </w:r>
    </w:p>
    <w:p>
      <w:r>
        <w:t>Reste à vérifier le calcul du degré d’invalidité du recourant dès le 1er juillet 2018, en précisant en préambule que la détermination du degré d’invalidité par l’OAI ne lie pas l’intimée, notamment eu égard au fait qu’elle n’a pas fait l’objet d’une décision entrée en force (ATF 126 V 288 consid. 2d). a. L’intimée a fondé son calcul sur une capacité de travail totale dans une activité adaptée dès le 1er juillet 2018. Tant le Dr E_______ que les médecins de la CRR ont retenu que l’état de santé du recourant, une fois stabilisé, lui permettrait d’exercer une activité adaptée à temps complet sans diminution de rendement. Leurs conclusions sont claires et elles se fondent sur des examens cliniques détaillés, complétés par la lecture du dossier et l’interrogatoire du recourant quant à ses plaintes. Au plan formel, leurs rapports</w:t>
      </w:r>
    </w:p>
    <w:p>
      <w:r>
        <w:t>A/4391/2018 - 23/27 - satisfont ainsi aux exigences dégagées par le Tribunal fédéral. Le fait que l’intervention pratiquée en novembre 2015 par le Dr G_______ ne figure pas dans les anamnèses établies par la CRR et le médecin d’arrondissement de l’intimée ne justifie pas qu’on écarte leurs rapports. En effet, cette intervention est antérieure à l’arthroscopie du 4 septembre 2017, touchant la même articulation, dont lesdits rapports tiennent compte. Le recourant n’affirme d’ailleurs pas que cette opération modifierait les diagnostics à retenir et les limitations fonctionnelles déjà admises en lien avec sa cheville gauche. En outre, aucun autre rapport médical ne suscite de doute qui justifierait que l’on se distancie de cette appréciation. Si le Dr G_______ a exclu dans son rapport du 31 mai 2018 la reprise du travail de maçon – rejoignant sur ce point l’appréciation des Drs E_______, L_______ et J_______, il semble en revanche admettre qu’une activité adaptée est possible. Quant au rapport du Dr I_______ du 3 juillet 2018, lequel ne repose du reste pas sur une consultation récente, il admet l’exercice d’une activité adaptée à temps partiel, en invoquant toutefois des limitations induites par des douleurs au dos dont l’intimée ne répond pas. Ce médecin a certes délivré des arrêts de travail portant sur la période postérieure à la décision de l’intimée. Dès lors que l’incapacité de travail dans l’activité habituelle n’est pas contestée par l’intimée, ces certificats, au demeurant non motivés, ne permettent pas de s’écarter de l’avis du Dr E_______. Enfin, le Dr N_______ ne s’est pas prononcé sur la capacité de gain du recourant. Par conséquent, le rapport du Dr E_______ doit se voir reconnaître force probante. Il apparaît du reste que le recourant a été en mesure de suivre un reclassement dans une nouvelle profession avant même la stabilisation de son état de santé, ce qui tend à confirmer la capacité médico-théorique dans une activité adaptée définie par les médecins de la CRR et par le médecin d’arrondissement. Par conséquent, c’est à juste titre que l’intimée a fondé son calcul du degré d’invalidité en tenant compte du revenu d’invalide tiré d’une activité exercée à plein temps. Ainsi, par appréciation anticipée des preuves (ATF 130 II 425 consid. 2.1), la chambre de céans renoncera à la mise en œuvre d’une expertise. b. S’agissant du revenu sans invalidité, l’intimée l’a fixé à CHF 80'755.40 en référence aux informations de l’employeur du 24 mai 2018, et il a ajouté la moyenne des heures supplémentaires réalisées entre 2004 et 2006, soit CHF 1'229.60. Si le revenu de CHF 80'755.40 correspond aux informations de l’employeur (12 mensualités de CHF 6'050.-, plus le supplément pour pause de 2.9 % et un 13ème salaire), il n’est pas possible de reconstituer le montant retenu à titre d’heures supplémentaires par l’intimée, dès lors que le dossier ne contient pas les données salariales complètes pour 2006. En outre, certains des chiffres avancés par l’intimée à ce titre ne correspondent pas aux montants ressortant des fiches de salaire. Ainsi, le recourant a perçu pour les heures supplémentaires, CHF 2'356.70 en 2004, et non</w:t>
      </w:r>
    </w:p>
    <w:p>
      <w:r>
        <w:t>A/4391/2018 - 24/27 - CHF 2'034.75, et CHF 755.25 en 2005 plutôt que CHF 626.50. Il a perçu CHF 1'421.80 pour les heures supplémentaires de juillet 2006 à juin 2007. On peut y ajouter le montant des heures supplémentaires de 2014, soit CHF 2'782.15. C’est donc la moyenne de ces quatre chiffres que la chambre de céans retiendra, soit CHF 1'829.-. Le revenu sans invalidité sera ainsi fixé à CHF 82'584.-. S’agissant des indemnités de repas dont le recourant réclame l’intégration dans le revenu sans invalidité, il faut rappeler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de la loi fédérale sur l’assurance-vieillesse et survivants [LAVS - RS 831.10]). Selon l'art. 9 du règlement sur l'assurance-vieillesse et survivants (RAVS - RS 831.101), les frais généraux sont les dépenses résultant pour le salarié de l'exécution de ses travaux ; le dédommagement pour frais encourus n'est pas compris dans le salaire déterminant (al. 1) ;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La Convention collective de travail (CCT) nationale du secteur principal de la construction en Suisse, qui a force obligatoire depuis 1999, prévoit des indemnités journalières pour les frais de déplacement et le repas de midi lorsque le travailleur ne peut pas retourner à son domicile. Des dispositions spéciales applicables dans le canton de Genève fixent le montant de l’indemnité forfaitaire journalière pour les frais de déplacement et le repas de midi à CHF 21.60. Dans un cas portant sur les indemnités de repas prévues par la CCT du second œuvre romand (SOR), laquelle prévoit également le versement d’indemnités de repas lorsque le repas de midi ne peut pas être pris à domicile, le Tribunal fédéral a retenu que ces indemnités servaient à couvrir les frais supplémentaires subis par le travailleur et représentaient incontestablement des indemnités pour frais encourus non comprises dans le salaire déterminant, leur caractère forfaitaire n’y changeant rien (arrêt du Tribunal fédéral 8C_310/2018 du 18 décembre 2018 consid. 7.4). Sur ce point, la présente cause est identique dès lors que les indemnités de repas sont prévues lorsque les travailleurs ne sont pas en mesure de se sustenter chez eux. Il convient dès lors de confirmer la position de l’intimée, qui n’a pas inclus ces indemnités dans le revenu sans invalidité. c. Pour ce qui est du revenu avec invalidité, le recours aux DPT ne prête pas flanc à la critique. Les DPT sont en effet compatibles avec les atteintes dont l’intimée répond, puisqu’ils n’impliquent notamment pas de port de charges excédant les limites fixées par le Dr E_______, n’exigent que de courts déplacements occasionnels et permettent l’alternance des positions.</w:t>
      </w:r>
    </w:p>
    <w:p>
      <w:r>
        <w:t>A/4391/2018 - 25/27 - Le recourant fait valoir que ces DPT portent sur des postes éloignés de Genève. La jurisprudence a rappelé que le caractère convenable d'un DPT en regard de l'éloignement entre le lieu de travail prévu et le domicile ne peut pas être déterminé à l'avance et d'une manière générale, mais qu’il doit être examiné en fonction de la situation de santé et personnelle de l'assuré ainsi que de son obligation de réduire le dommage (arrêt du Tribunal fédéral 8C_408/2014 du 23 mars 2015 consid. 7.3). En l’espèce, l’état de santé du recourant tel que décrit par les médecins ne fait pas obstacle à des trajets même relativement longs, étant du reste rappelé que les limitations dont répond l’intimée ne l’ont pas empêché de suivre une formation dans la conduite. En tant que le recourant fait valoir que ces postes sont trop spécifiques pour être représentatifs du marché du travail, il ne peut être suivi. En effet, les DPT sélectionnés, accessibles sans formation, correspondent à des postes fréquemment retrouvés dans l’industrie. La chambre de céans n’a ainsi pas de motif de s’écarter du revenu après invalidité de CHF 62'025.-. En conséquence, le degré d’invalidité résultant de la comparaison des revenus avant et après l’accident s’élève à 24.89 %, chiffre qui doit être arrondi à 25 % selon les règles mathématiques (ATF 130 V 121 consid. 3). d. Le gain assuré retenu par l’intimée est celui que le recourant a réalisé dans l’année qui a précédé l’accident de 2007, soit CHF 74'420.- indexé à 2017. Aux termes de l’art. 15 al. 2 LAA, est réputé gain assuré pour le calcul des indemnités journalières le dernier salaire que l'assuré a reçu avant l'accident ; est déterminant pour le calcul des rentes le salaire que l'assuré a gagné durant l'année qui a précédé l'accident. L’art. 24 al. 2 OLAA précise que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Selon la jurisprudence, cette disposition permet l’adaptation du gain uniquement à l’évolution des salaires dans le secteur d’activité, et les modifications du gain assuré qui ne relèvent pas du renchérissement ne peuvent pas être prises en compte (arrêt du Tribunal fédéral 8C_237/2011 du 19 août 2011 consid. 3.3).</w:t>
      </w:r>
    </w:p>
    <w:p>
      <w:r>
        <w:t>La détermination du gain assuré de l’intimée est ainsi conforme au droit.</w:t>
      </w:r>
    </w:p>
    <w:p>
      <w:r>
        <w:rPr>
          <w:b/>
        </w:rPr>
        <w:t>E. 10</w:t>
      </w:r>
    </w:p>
    <w:p>
      <w:r>
        <w:t>Le recourant s’en prend enfin à l’indemnité pour atteinte à l’intégrité qui lui a été octroyée. Compte tenu de la stabilisation de son état de santé, on ne peut considérer que la détermination de cette indemnité est prématurée.</w:t>
      </w:r>
    </w:p>
    <w:p>
      <w:r>
        <w:t>A/4391/2018 - 26/27 - Quant à son taux, fixé par analogie avec une arthrose grave tibio-tarsienne nécessitant une arthrodèse (pour laquelle la table 5 d’indemnisation prévoit une fourchette de 15 à 30 %), il ne fait l’objet d’aucune critique concrète du recourant, qui se contente d’alléguer que ce taux ne reflèterait pas la gravité de son atteinte. Un tel argument, guère étayé et contredit par la notion même d’arthrose grave correspondant à ce taux d’indemnisation, ne convainc pas. Par ailleurs, comme on l’a vu, la fixation de l’indemnité pour atteinte à l’intégrité incombe avant tout aux médecins, et le recourant ne produit aucun rapport médical s’écartant de l’évaluation du Dr E_______ sur ce point. Partant, la décision de l’intimée doit également être confirmée sur ce point.</w:t>
      </w:r>
    </w:p>
    <w:p>
      <w:r>
        <w:rPr>
          <w:b/>
        </w:rPr>
        <w:t>E. 11</w:t>
      </w:r>
    </w:p>
    <w:p>
      <w:r>
        <w:t>Compte tenu de ce qui précède, le recours est très partiellement admis, en ce sens que le degré d’invalidité reconnu au recourant est de 25 % (au lieu de 24 %). Le recourant a droit à des dépens, qui seront fixés à CHF 250.- (art. 61 let. g LPGA). Pour le surplus, la procédure est gratuite (art. 61 let. a LPGA). * * * * * *</w:t>
      </w:r>
    </w:p>
    <w:p>
      <w:r>
        <w:t>A/4391/2018 - 27/27 -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